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98DDB6" w14:textId="77777777" w:rsidR="00C908AF" w:rsidRDefault="00BD66C0" w:rsidP="00BD66C0">
      <w:pPr>
        <w:pStyle w:val="Pealkiri1"/>
        <w:numPr>
          <w:ilvl w:val="0"/>
          <w:numId w:val="0"/>
        </w:numPr>
        <w:ind w:left="432" w:hanging="432"/>
        <w:jc w:val="center"/>
        <w:rPr>
          <w:lang w:val="et-EE"/>
        </w:rPr>
      </w:pPr>
      <w:bookmarkStart w:id="0" w:name="_Toc16844419"/>
      <w:r>
        <w:rPr>
          <w:lang w:val="et-EE"/>
        </w:rPr>
        <w:t xml:space="preserve">EKOVIR OÜ </w:t>
      </w:r>
      <w:proofErr w:type="spellStart"/>
      <w:r>
        <w:rPr>
          <w:lang w:val="et-EE"/>
        </w:rPr>
        <w:t>Uikala</w:t>
      </w:r>
      <w:proofErr w:type="spellEnd"/>
      <w:r>
        <w:rPr>
          <w:lang w:val="et-EE"/>
        </w:rPr>
        <w:t xml:space="preserve"> prügila </w:t>
      </w:r>
    </w:p>
    <w:p w14:paraId="73FC3B41" w14:textId="77212517" w:rsidR="00400AEC" w:rsidRDefault="00BD66C0" w:rsidP="0004022D">
      <w:pPr>
        <w:pStyle w:val="Pealkiri1"/>
        <w:numPr>
          <w:ilvl w:val="0"/>
          <w:numId w:val="0"/>
        </w:numPr>
        <w:spacing w:before="120"/>
        <w:ind w:left="431" w:hanging="431"/>
        <w:jc w:val="center"/>
      </w:pPr>
      <w:r>
        <w:rPr>
          <w:lang w:val="et-EE"/>
        </w:rPr>
        <w:t>l</w:t>
      </w:r>
      <w:proofErr w:type="spellStart"/>
      <w:r w:rsidR="00400AEC">
        <w:t>õhnaaine</w:t>
      </w:r>
      <w:proofErr w:type="spellEnd"/>
      <w:r w:rsidR="00400AEC">
        <w:t xml:space="preserve"> võimaliku esinemise hinnang</w:t>
      </w:r>
      <w:bookmarkEnd w:id="0"/>
    </w:p>
    <w:p w14:paraId="765D5F62" w14:textId="77777777" w:rsidR="00C908AF" w:rsidRDefault="00C908AF" w:rsidP="00F61391"/>
    <w:p w14:paraId="3B151F32" w14:textId="64CC3811" w:rsidR="00BD66C0" w:rsidRDefault="00BD66C0" w:rsidP="00F61391">
      <w:r>
        <w:t>Käesolev lõhnaaine võimalik esinemise hinnang on koostatud 20</w:t>
      </w:r>
      <w:r w:rsidR="00271AB3">
        <w:t>21</w:t>
      </w:r>
      <w:r>
        <w:t xml:space="preserve"> aasta märtsikuus </w:t>
      </w:r>
      <w:r w:rsidR="00F8061E">
        <w:t xml:space="preserve">ja seda on täiendatud juunis 2022 </w:t>
      </w:r>
      <w:r>
        <w:t xml:space="preserve">LEMMA OÜ poolt EKOVIR OÜ keskkonnakompleksloa </w:t>
      </w:r>
      <w:r w:rsidR="00C908AF" w:rsidRPr="00C908AF">
        <w:t>KKL/150026</w:t>
      </w:r>
      <w:r w:rsidR="00C908AF">
        <w:t xml:space="preserve"> muutmise taotluse osana.</w:t>
      </w:r>
    </w:p>
    <w:p w14:paraId="78CD8510" w14:textId="5DE1D0D3" w:rsidR="00F61391" w:rsidRDefault="00F61391" w:rsidP="00F61391">
      <w:r>
        <w:t xml:space="preserve">EKOVIR OÜ-le teadaolevalt ei ole </w:t>
      </w:r>
      <w:proofErr w:type="spellStart"/>
      <w:r>
        <w:t>Uikala</w:t>
      </w:r>
      <w:proofErr w:type="spellEnd"/>
      <w:r>
        <w:t xml:space="preserve"> prügila tegevuse osas laekunud viimastel aastatel lõhnakaebusi. Seega on ebatõenäoline lõhna häiringutaseme ületamine lähimate elamute juures. </w:t>
      </w:r>
    </w:p>
    <w:p w14:paraId="33BDF157" w14:textId="6B34BF94" w:rsidR="00F61391" w:rsidRDefault="001231FF" w:rsidP="001231FF">
      <w:r>
        <w:t xml:space="preserve">Hais tekib prügilas orgaaniliste jäätmete lagunemisel. Eriti intensiivselt lehkavaid jäätmeid võib prügilasse vastu võtta erandkorras. Selliste jäätmekoormate vastuvõtmine peab olema ette korraldatud, s.t. peavad olema valmis nii töötajad kui ka masinad. </w:t>
      </w:r>
      <w:r w:rsidR="0054400A">
        <w:t xml:space="preserve">Ladestatud </w:t>
      </w:r>
      <w:r>
        <w:t xml:space="preserve">jäätmed peab kinni katma viivitamatult. </w:t>
      </w:r>
    </w:p>
    <w:p w14:paraId="1E2D28F4" w14:textId="630731E6" w:rsidR="003F3A63" w:rsidRDefault="003F3A63" w:rsidP="004A0EAE">
      <w:r>
        <w:t xml:space="preserve">Antud käitises saab lõhna põhjustada nii ladestusala kui ka segaolmejäätmete </w:t>
      </w:r>
      <w:proofErr w:type="spellStart"/>
      <w:r>
        <w:t>mehh</w:t>
      </w:r>
      <w:r w:rsidR="00B43C32">
        <w:t>a</w:t>
      </w:r>
      <w:r>
        <w:t>anilis</w:t>
      </w:r>
      <w:proofErr w:type="spellEnd"/>
      <w:r>
        <w:t xml:space="preserve">-bioloogiline käitlus (MBT) ning vähesel määral ka ehitus-lammutusjäätmete käitlus. </w:t>
      </w:r>
    </w:p>
    <w:p w14:paraId="78630A09" w14:textId="000DE0C2" w:rsidR="00EA1488" w:rsidRDefault="004A0EAE" w:rsidP="004A0EAE">
      <w:r w:rsidRPr="00400AEC">
        <w:rPr>
          <w:szCs w:val="22"/>
        </w:rPr>
        <w:t>Keskkonnaministri 27.12.2016 määrus nr 81</w:t>
      </w:r>
      <w:r>
        <w:rPr>
          <w:szCs w:val="22"/>
        </w:rPr>
        <w:t xml:space="preserve"> </w:t>
      </w:r>
      <w:r w:rsidRPr="00400AEC">
        <w:rPr>
          <w:szCs w:val="22"/>
        </w:rPr>
        <w:t>„Lõhnaaine esinemise hindamise kord,</w:t>
      </w:r>
      <w:r>
        <w:rPr>
          <w:szCs w:val="22"/>
        </w:rPr>
        <w:t xml:space="preserve"> </w:t>
      </w:r>
      <w:r w:rsidRPr="00400AEC">
        <w:rPr>
          <w:szCs w:val="22"/>
        </w:rPr>
        <w:t>hindamisele esitatavad nõuded ja</w:t>
      </w:r>
      <w:r>
        <w:rPr>
          <w:szCs w:val="22"/>
        </w:rPr>
        <w:t xml:space="preserve"> </w:t>
      </w:r>
      <w:r w:rsidRPr="00400AEC">
        <w:rPr>
          <w:szCs w:val="22"/>
        </w:rPr>
        <w:t>lõhnaaine esinemise häiringutasemed”</w:t>
      </w:r>
      <w:r>
        <w:rPr>
          <w:szCs w:val="22"/>
        </w:rPr>
        <w:t xml:space="preserve"> l</w:t>
      </w:r>
      <w:r w:rsidRPr="00400AEC">
        <w:rPr>
          <w:szCs w:val="22"/>
        </w:rPr>
        <w:t>isa</w:t>
      </w:r>
      <w:r>
        <w:rPr>
          <w:szCs w:val="22"/>
        </w:rPr>
        <w:t xml:space="preserve"> kohaselt on jäätmekäitluses </w:t>
      </w:r>
      <w:proofErr w:type="spellStart"/>
      <w:r>
        <w:rPr>
          <w:szCs w:val="22"/>
        </w:rPr>
        <w:t>segajäätmete</w:t>
      </w:r>
      <w:proofErr w:type="spellEnd"/>
      <w:r>
        <w:rPr>
          <w:szCs w:val="22"/>
        </w:rPr>
        <w:t xml:space="preserve"> käitluse lõhnaainete eriheide 5.4 </w:t>
      </w:r>
      <w:r>
        <w:t>OU/m</w:t>
      </w:r>
      <w:r w:rsidRPr="00400AEC">
        <w:rPr>
          <w:vertAlign w:val="superscript"/>
        </w:rPr>
        <w:t>2</w:t>
      </w:r>
      <w:r>
        <w:t>/s. Ehitusprahi lõhnaainete eriheide on 1.3 OU/m</w:t>
      </w:r>
      <w:r w:rsidRPr="00400AEC">
        <w:rPr>
          <w:vertAlign w:val="superscript"/>
        </w:rPr>
        <w:t>2</w:t>
      </w:r>
      <w:r>
        <w:t>/s.</w:t>
      </w:r>
    </w:p>
    <w:p w14:paraId="2F1B047A" w14:textId="6806A093" w:rsidR="00914097" w:rsidRDefault="00914097" w:rsidP="004A0EAE">
      <w:r w:rsidRPr="00914097">
        <w:t xml:space="preserve">Määruse 81 lisa ei anna eriheidet prügila ladestusala osas. Prügila ladestusala </w:t>
      </w:r>
      <w:proofErr w:type="spellStart"/>
      <w:r w:rsidRPr="00914097">
        <w:t>eriheitmena</w:t>
      </w:r>
      <w:proofErr w:type="spellEnd"/>
      <w:r w:rsidRPr="00914097">
        <w:t xml:space="preserve"> kasutati Leedus analoogilises prügilas läbiviidud lõhnauuringu tulemusi</w:t>
      </w:r>
      <w:r>
        <w:rPr>
          <w:rStyle w:val="Allmrkuseviide"/>
        </w:rPr>
        <w:footnoteReference w:id="1"/>
      </w:r>
      <w:r w:rsidRPr="00914097">
        <w:t>. Uuringu kohaselt jäi lõhnaainete eraldumine 0.02-1.29 OU/m</w:t>
      </w:r>
      <w:r w:rsidRPr="00207281">
        <w:rPr>
          <w:vertAlign w:val="superscript"/>
        </w:rPr>
        <w:t>2</w:t>
      </w:r>
      <w:r w:rsidRPr="00914097">
        <w:t>*s vahemikku. Käesolevas lõhnahinnangus kasutati uuringu maksimaalväärtust 1.29 OU/m</w:t>
      </w:r>
      <w:r w:rsidRPr="00207281">
        <w:rPr>
          <w:vertAlign w:val="superscript"/>
        </w:rPr>
        <w:t>2</w:t>
      </w:r>
      <w:r w:rsidRPr="00914097">
        <w:t>*s</w:t>
      </w:r>
      <w:r w:rsidR="004A517D">
        <w:t>.</w:t>
      </w:r>
    </w:p>
    <w:p w14:paraId="166226E6" w14:textId="74553D20" w:rsidR="00AD5AC4" w:rsidRPr="00E17470" w:rsidRDefault="00AD5AC4" w:rsidP="0019124C">
      <w:r>
        <w:t>Hajuvusmudelisse sisestati lihtsustatult lõhnaallikatena nii ladestusala (54 000 m</w:t>
      </w:r>
      <w:r w:rsidRPr="00B7098A">
        <w:rPr>
          <w:vertAlign w:val="superscript"/>
        </w:rPr>
        <w:t>2</w:t>
      </w:r>
      <w:r>
        <w:t>) kui ka segaolmejäätmete käitlusala (kahe alana 4500 m</w:t>
      </w:r>
      <w:r>
        <w:rPr>
          <w:vertAlign w:val="superscript"/>
        </w:rPr>
        <w:t>2</w:t>
      </w:r>
      <w:r>
        <w:t>+ 10 000 m</w:t>
      </w:r>
      <w:r w:rsidRPr="006C3A2E">
        <w:rPr>
          <w:vertAlign w:val="superscript"/>
        </w:rPr>
        <w:t>2</w:t>
      </w:r>
      <w:r>
        <w:t>) ning ehitusprahi käitlusala (territoorium kus toimub puidu ja mineraaljäätmete purustamine-sõelumine u 2500 m</w:t>
      </w:r>
      <w:r w:rsidRPr="00D51115">
        <w:rPr>
          <w:vertAlign w:val="superscript"/>
        </w:rPr>
        <w:t>2</w:t>
      </w:r>
      <w:r>
        <w:t xml:space="preserve">). </w:t>
      </w:r>
      <w:r w:rsidR="00E17470">
        <w:t>Biojäätmete kompostimisplatsi suuruseks on võetud hinnanguliselt 2000 m</w:t>
      </w:r>
      <w:r w:rsidR="00E17470">
        <w:rPr>
          <w:vertAlign w:val="superscript"/>
        </w:rPr>
        <w:t>2</w:t>
      </w:r>
      <w:r w:rsidR="00E17470">
        <w:t xml:space="preserve"> – reaalselt kasutatakse sama ala vastavalt kas </w:t>
      </w:r>
      <w:r w:rsidR="002E472A">
        <w:t xml:space="preserve">segaolmejäätmete käitlemiseks või kompostimiseks. </w:t>
      </w:r>
    </w:p>
    <w:p w14:paraId="2DC54906" w14:textId="6AB21D04" w:rsidR="0019124C" w:rsidRPr="0019124C" w:rsidRDefault="0019124C" w:rsidP="00AD5AC4">
      <w:pPr>
        <w:rPr>
          <w:rFonts w:asciiTheme="minorHAnsi" w:hAnsiTheme="minorHAnsi" w:cstheme="minorHAnsi"/>
          <w:szCs w:val="22"/>
        </w:rPr>
      </w:pPr>
      <w:r w:rsidRPr="0019124C">
        <w:rPr>
          <w:rFonts w:asciiTheme="minorHAnsi" w:hAnsiTheme="minorHAnsi" w:cstheme="minorHAnsi"/>
          <w:szCs w:val="22"/>
        </w:rPr>
        <w:t>Käitise territooriumil paikneb 1800 m</w:t>
      </w:r>
      <w:r w:rsidRPr="0019124C">
        <w:rPr>
          <w:rFonts w:asciiTheme="minorHAnsi" w:hAnsiTheme="minorHAnsi" w:cstheme="minorHAnsi"/>
          <w:szCs w:val="22"/>
          <w:vertAlign w:val="superscript"/>
        </w:rPr>
        <w:t>3</w:t>
      </w:r>
      <w:r w:rsidRPr="0019124C">
        <w:rPr>
          <w:rFonts w:asciiTheme="minorHAnsi" w:hAnsiTheme="minorHAnsi" w:cstheme="minorHAnsi"/>
          <w:szCs w:val="22"/>
        </w:rPr>
        <w:t xml:space="preserve"> mahutav </w:t>
      </w:r>
      <w:proofErr w:type="spellStart"/>
      <w:r w:rsidRPr="0019124C">
        <w:rPr>
          <w:rFonts w:asciiTheme="minorHAnsi" w:hAnsiTheme="minorHAnsi" w:cstheme="minorHAnsi"/>
          <w:szCs w:val="22"/>
        </w:rPr>
        <w:t>nõrgvee</w:t>
      </w:r>
      <w:proofErr w:type="spellEnd"/>
      <w:r w:rsidRPr="0019124C">
        <w:rPr>
          <w:rFonts w:asciiTheme="minorHAnsi" w:hAnsiTheme="minorHAnsi" w:cstheme="minorHAnsi"/>
          <w:szCs w:val="22"/>
        </w:rPr>
        <w:t xml:space="preserve"> bassein. Määrus 81 ei anna lõhna eriheidet jäätmekäitluse </w:t>
      </w:r>
      <w:proofErr w:type="spellStart"/>
      <w:r w:rsidRPr="0019124C">
        <w:rPr>
          <w:rFonts w:asciiTheme="minorHAnsi" w:hAnsiTheme="minorHAnsi" w:cstheme="minorHAnsi"/>
          <w:szCs w:val="22"/>
        </w:rPr>
        <w:t>nõrgvee</w:t>
      </w:r>
      <w:proofErr w:type="spellEnd"/>
      <w:r w:rsidRPr="0019124C">
        <w:rPr>
          <w:rFonts w:asciiTheme="minorHAnsi" w:hAnsiTheme="minorHAnsi" w:cstheme="minorHAnsi"/>
          <w:szCs w:val="22"/>
        </w:rPr>
        <w:t xml:space="preserve"> basseinidele. </w:t>
      </w:r>
      <w:proofErr w:type="spellStart"/>
      <w:r w:rsidRPr="0019124C">
        <w:rPr>
          <w:rFonts w:asciiTheme="minorHAnsi" w:hAnsiTheme="minorHAnsi" w:cstheme="minorHAnsi"/>
          <w:szCs w:val="22"/>
        </w:rPr>
        <w:t>Lähedaseimaks</w:t>
      </w:r>
      <w:proofErr w:type="spellEnd"/>
      <w:r w:rsidRPr="0019124C">
        <w:rPr>
          <w:rFonts w:asciiTheme="minorHAnsi" w:hAnsiTheme="minorHAnsi" w:cstheme="minorHAnsi"/>
          <w:szCs w:val="22"/>
        </w:rPr>
        <w:t xml:space="preserve"> määruse 81 lisas esitatud lõhnaallikaks on reoveepuhastuse tegevusvaldkonnas </w:t>
      </w:r>
      <w:proofErr w:type="spellStart"/>
      <w:r w:rsidRPr="0019124C">
        <w:rPr>
          <w:rFonts w:asciiTheme="minorHAnsi" w:hAnsiTheme="minorHAnsi" w:cstheme="minorHAnsi"/>
          <w:szCs w:val="22"/>
        </w:rPr>
        <w:t>aereerimata</w:t>
      </w:r>
      <w:proofErr w:type="spellEnd"/>
      <w:r w:rsidRPr="0019124C">
        <w:rPr>
          <w:rFonts w:asciiTheme="minorHAnsi" w:hAnsiTheme="minorHAnsi" w:cstheme="minorHAnsi"/>
          <w:szCs w:val="22"/>
        </w:rPr>
        <w:t xml:space="preserve"> bassein, mille eriheide on 21.4 OU/m</w:t>
      </w:r>
      <w:r w:rsidRPr="0019124C">
        <w:rPr>
          <w:rFonts w:asciiTheme="minorHAnsi" w:hAnsiTheme="minorHAnsi" w:cstheme="minorHAnsi"/>
          <w:szCs w:val="22"/>
          <w:vertAlign w:val="superscript"/>
        </w:rPr>
        <w:t>2</w:t>
      </w:r>
      <w:r w:rsidRPr="0019124C">
        <w:rPr>
          <w:rFonts w:asciiTheme="minorHAnsi" w:hAnsiTheme="minorHAnsi" w:cstheme="minorHAnsi"/>
          <w:szCs w:val="22"/>
        </w:rPr>
        <w:t>/s.</w:t>
      </w:r>
    </w:p>
    <w:p w14:paraId="614B2428" w14:textId="08088EAD" w:rsidR="004A517D" w:rsidRDefault="0074547A" w:rsidP="0074547A">
      <w:pPr>
        <w:pStyle w:val="Pealdis"/>
      </w:pPr>
      <w:r>
        <w:t xml:space="preserve">Tabel </w:t>
      </w:r>
      <w:fldSimple w:instr=" SEQ Tabel \* ARABIC ">
        <w:r w:rsidR="003A1650">
          <w:rPr>
            <w:noProof/>
          </w:rPr>
          <w:t>1</w:t>
        </w:r>
      </w:fldSimple>
      <w:r>
        <w:t xml:space="preserve">. Lõhnaainete eraldumine </w:t>
      </w:r>
      <w:proofErr w:type="spellStart"/>
      <w:r>
        <w:t>Uikala</w:t>
      </w:r>
      <w:proofErr w:type="spellEnd"/>
      <w:r>
        <w:t xml:space="preserve"> prügila alalt.</w:t>
      </w:r>
    </w:p>
    <w:tbl>
      <w:tblPr>
        <w:tblW w:w="9040" w:type="dxa"/>
        <w:tblCellMar>
          <w:left w:w="70" w:type="dxa"/>
          <w:right w:w="70" w:type="dxa"/>
        </w:tblCellMar>
        <w:tblLook w:val="04A0" w:firstRow="1" w:lastRow="0" w:firstColumn="1" w:lastColumn="0" w:noHBand="0" w:noVBand="1"/>
      </w:tblPr>
      <w:tblGrid>
        <w:gridCol w:w="3875"/>
        <w:gridCol w:w="1815"/>
        <w:gridCol w:w="1675"/>
        <w:gridCol w:w="1675"/>
      </w:tblGrid>
      <w:tr w:rsidR="004A517D" w:rsidRPr="004A517D" w14:paraId="342EA5ED" w14:textId="77777777" w:rsidTr="0074547A">
        <w:trPr>
          <w:trHeight w:val="261"/>
        </w:trPr>
        <w:tc>
          <w:tcPr>
            <w:tcW w:w="3875"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bottom"/>
            <w:hideMark/>
          </w:tcPr>
          <w:p w14:paraId="44899B38" w14:textId="77777777" w:rsidR="004A517D" w:rsidRPr="004A517D" w:rsidRDefault="004A517D" w:rsidP="004A517D">
            <w:pPr>
              <w:spacing w:before="0"/>
              <w:jc w:val="left"/>
              <w:rPr>
                <w:rFonts w:cs="Calibri"/>
                <w:color w:val="000000"/>
                <w:szCs w:val="22"/>
                <w:lang w:eastAsia="et-EE"/>
              </w:rPr>
            </w:pPr>
            <w:r w:rsidRPr="004A517D">
              <w:rPr>
                <w:rFonts w:cs="Calibri"/>
                <w:color w:val="000000"/>
                <w:szCs w:val="22"/>
                <w:lang w:eastAsia="et-EE"/>
              </w:rPr>
              <w:t> </w:t>
            </w:r>
          </w:p>
        </w:tc>
        <w:tc>
          <w:tcPr>
            <w:tcW w:w="1815" w:type="dxa"/>
            <w:tcBorders>
              <w:top w:val="single" w:sz="4" w:space="0" w:color="auto"/>
              <w:left w:val="nil"/>
              <w:bottom w:val="single" w:sz="4" w:space="0" w:color="auto"/>
              <w:right w:val="single" w:sz="4" w:space="0" w:color="auto"/>
            </w:tcBorders>
            <w:shd w:val="clear" w:color="auto" w:fill="E2EFD9" w:themeFill="accent6" w:themeFillTint="33"/>
            <w:noWrap/>
            <w:vAlign w:val="bottom"/>
            <w:hideMark/>
          </w:tcPr>
          <w:p w14:paraId="6E149F2A" w14:textId="63984E6A" w:rsidR="004A517D" w:rsidRPr="004A517D" w:rsidRDefault="004A517D" w:rsidP="004A517D">
            <w:pPr>
              <w:spacing w:before="0"/>
              <w:jc w:val="left"/>
              <w:rPr>
                <w:rFonts w:cs="Calibri"/>
                <w:b/>
                <w:bCs/>
                <w:color w:val="000000"/>
                <w:szCs w:val="22"/>
                <w:lang w:eastAsia="et-EE"/>
              </w:rPr>
            </w:pPr>
            <w:r w:rsidRPr="004A517D">
              <w:rPr>
                <w:rFonts w:cs="Calibri"/>
                <w:b/>
                <w:bCs/>
                <w:color w:val="000000"/>
                <w:szCs w:val="22"/>
                <w:lang w:eastAsia="et-EE"/>
              </w:rPr>
              <w:t>OU/m</w:t>
            </w:r>
            <w:r w:rsidRPr="00AA75FC">
              <w:rPr>
                <w:rFonts w:cs="Calibri"/>
                <w:b/>
                <w:bCs/>
                <w:color w:val="000000"/>
                <w:szCs w:val="22"/>
                <w:vertAlign w:val="superscript"/>
                <w:lang w:eastAsia="et-EE"/>
              </w:rPr>
              <w:t>2</w:t>
            </w:r>
            <w:r>
              <w:rPr>
                <w:rFonts w:cs="Calibri"/>
                <w:b/>
                <w:bCs/>
                <w:color w:val="000000"/>
                <w:szCs w:val="22"/>
                <w:lang w:eastAsia="et-EE"/>
              </w:rPr>
              <w:t>*</w:t>
            </w:r>
            <w:r w:rsidRPr="004A517D">
              <w:rPr>
                <w:rFonts w:cs="Calibri"/>
                <w:b/>
                <w:bCs/>
                <w:color w:val="000000"/>
                <w:szCs w:val="22"/>
                <w:lang w:eastAsia="et-EE"/>
              </w:rPr>
              <w:t>s</w:t>
            </w:r>
          </w:p>
        </w:tc>
        <w:tc>
          <w:tcPr>
            <w:tcW w:w="1675" w:type="dxa"/>
            <w:tcBorders>
              <w:top w:val="single" w:sz="4" w:space="0" w:color="auto"/>
              <w:left w:val="nil"/>
              <w:bottom w:val="single" w:sz="4" w:space="0" w:color="auto"/>
              <w:right w:val="single" w:sz="4" w:space="0" w:color="auto"/>
            </w:tcBorders>
            <w:shd w:val="clear" w:color="auto" w:fill="E2EFD9" w:themeFill="accent6" w:themeFillTint="33"/>
            <w:noWrap/>
            <w:vAlign w:val="bottom"/>
            <w:hideMark/>
          </w:tcPr>
          <w:p w14:paraId="282AF6B6" w14:textId="77777777" w:rsidR="004A517D" w:rsidRPr="004A517D" w:rsidRDefault="004A517D" w:rsidP="004A517D">
            <w:pPr>
              <w:spacing w:before="0"/>
              <w:jc w:val="left"/>
              <w:rPr>
                <w:rFonts w:cs="Calibri"/>
                <w:b/>
                <w:bCs/>
                <w:color w:val="000000"/>
                <w:szCs w:val="22"/>
                <w:lang w:eastAsia="et-EE"/>
              </w:rPr>
            </w:pPr>
            <w:r w:rsidRPr="004A517D">
              <w:rPr>
                <w:rFonts w:cs="Calibri"/>
                <w:b/>
                <w:bCs/>
                <w:color w:val="000000"/>
                <w:szCs w:val="22"/>
                <w:lang w:eastAsia="et-EE"/>
              </w:rPr>
              <w:t>Pindala</w:t>
            </w:r>
          </w:p>
        </w:tc>
        <w:tc>
          <w:tcPr>
            <w:tcW w:w="1675" w:type="dxa"/>
            <w:tcBorders>
              <w:top w:val="single" w:sz="4" w:space="0" w:color="auto"/>
              <w:left w:val="nil"/>
              <w:bottom w:val="single" w:sz="4" w:space="0" w:color="auto"/>
              <w:right w:val="single" w:sz="4" w:space="0" w:color="auto"/>
            </w:tcBorders>
            <w:shd w:val="clear" w:color="auto" w:fill="E2EFD9" w:themeFill="accent6" w:themeFillTint="33"/>
            <w:noWrap/>
            <w:vAlign w:val="bottom"/>
            <w:hideMark/>
          </w:tcPr>
          <w:p w14:paraId="13475FB0" w14:textId="77777777" w:rsidR="004A517D" w:rsidRPr="004A517D" w:rsidRDefault="004A517D" w:rsidP="004A517D">
            <w:pPr>
              <w:spacing w:before="0"/>
              <w:jc w:val="left"/>
              <w:rPr>
                <w:rFonts w:cs="Calibri"/>
                <w:b/>
                <w:bCs/>
                <w:color w:val="000000"/>
                <w:szCs w:val="22"/>
                <w:lang w:eastAsia="et-EE"/>
              </w:rPr>
            </w:pPr>
            <w:r w:rsidRPr="004A517D">
              <w:rPr>
                <w:rFonts w:cs="Calibri"/>
                <w:b/>
                <w:bCs/>
                <w:color w:val="000000"/>
                <w:szCs w:val="22"/>
                <w:lang w:eastAsia="et-EE"/>
              </w:rPr>
              <w:t>OU/s</w:t>
            </w:r>
          </w:p>
        </w:tc>
      </w:tr>
      <w:tr w:rsidR="004A517D" w:rsidRPr="004A517D" w14:paraId="13AF26C6" w14:textId="77777777" w:rsidTr="0074547A">
        <w:trPr>
          <w:trHeight w:val="261"/>
        </w:trPr>
        <w:tc>
          <w:tcPr>
            <w:tcW w:w="3875" w:type="dxa"/>
            <w:tcBorders>
              <w:top w:val="nil"/>
              <w:left w:val="single" w:sz="4" w:space="0" w:color="auto"/>
              <w:bottom w:val="single" w:sz="4" w:space="0" w:color="auto"/>
              <w:right w:val="single" w:sz="4" w:space="0" w:color="auto"/>
            </w:tcBorders>
            <w:shd w:val="clear" w:color="auto" w:fill="auto"/>
            <w:noWrap/>
            <w:vAlign w:val="bottom"/>
            <w:hideMark/>
          </w:tcPr>
          <w:p w14:paraId="7CA03768" w14:textId="77777777" w:rsidR="004A517D" w:rsidRPr="004A517D" w:rsidRDefault="004A517D" w:rsidP="004A517D">
            <w:pPr>
              <w:spacing w:before="0"/>
              <w:jc w:val="left"/>
              <w:rPr>
                <w:rFonts w:cs="Calibri"/>
                <w:color w:val="000000"/>
                <w:szCs w:val="22"/>
                <w:lang w:eastAsia="et-EE"/>
              </w:rPr>
            </w:pPr>
            <w:r w:rsidRPr="004A517D">
              <w:rPr>
                <w:rFonts w:cs="Calibri"/>
                <w:color w:val="000000"/>
                <w:szCs w:val="22"/>
                <w:lang w:eastAsia="et-EE"/>
              </w:rPr>
              <w:t xml:space="preserve">Ladestusala </w:t>
            </w:r>
          </w:p>
        </w:tc>
        <w:tc>
          <w:tcPr>
            <w:tcW w:w="1815" w:type="dxa"/>
            <w:tcBorders>
              <w:top w:val="nil"/>
              <w:left w:val="nil"/>
              <w:bottom w:val="single" w:sz="4" w:space="0" w:color="auto"/>
              <w:right w:val="single" w:sz="4" w:space="0" w:color="auto"/>
            </w:tcBorders>
            <w:shd w:val="clear" w:color="auto" w:fill="auto"/>
            <w:noWrap/>
            <w:vAlign w:val="bottom"/>
            <w:hideMark/>
          </w:tcPr>
          <w:p w14:paraId="297A8778"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1.29</w:t>
            </w:r>
          </w:p>
        </w:tc>
        <w:tc>
          <w:tcPr>
            <w:tcW w:w="1675" w:type="dxa"/>
            <w:tcBorders>
              <w:top w:val="nil"/>
              <w:left w:val="nil"/>
              <w:bottom w:val="single" w:sz="4" w:space="0" w:color="auto"/>
              <w:right w:val="single" w:sz="4" w:space="0" w:color="auto"/>
            </w:tcBorders>
            <w:shd w:val="clear" w:color="auto" w:fill="auto"/>
            <w:noWrap/>
            <w:vAlign w:val="bottom"/>
            <w:hideMark/>
          </w:tcPr>
          <w:p w14:paraId="5CABD5A4"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54000</w:t>
            </w:r>
          </w:p>
        </w:tc>
        <w:tc>
          <w:tcPr>
            <w:tcW w:w="1675" w:type="dxa"/>
            <w:tcBorders>
              <w:top w:val="nil"/>
              <w:left w:val="nil"/>
              <w:bottom w:val="single" w:sz="4" w:space="0" w:color="auto"/>
              <w:right w:val="single" w:sz="4" w:space="0" w:color="auto"/>
            </w:tcBorders>
            <w:shd w:val="clear" w:color="auto" w:fill="auto"/>
            <w:noWrap/>
            <w:vAlign w:val="bottom"/>
            <w:hideMark/>
          </w:tcPr>
          <w:p w14:paraId="472FE69E"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69660</w:t>
            </w:r>
          </w:p>
        </w:tc>
      </w:tr>
      <w:tr w:rsidR="004A517D" w:rsidRPr="004A517D" w14:paraId="43FA9296" w14:textId="77777777" w:rsidTr="0074547A">
        <w:trPr>
          <w:trHeight w:val="261"/>
        </w:trPr>
        <w:tc>
          <w:tcPr>
            <w:tcW w:w="3875" w:type="dxa"/>
            <w:tcBorders>
              <w:top w:val="nil"/>
              <w:left w:val="single" w:sz="4" w:space="0" w:color="auto"/>
              <w:bottom w:val="single" w:sz="4" w:space="0" w:color="auto"/>
              <w:right w:val="single" w:sz="4" w:space="0" w:color="auto"/>
            </w:tcBorders>
            <w:shd w:val="clear" w:color="auto" w:fill="auto"/>
            <w:noWrap/>
            <w:vAlign w:val="bottom"/>
            <w:hideMark/>
          </w:tcPr>
          <w:p w14:paraId="416F3892" w14:textId="4F88C4F6" w:rsidR="004A517D" w:rsidRPr="004A517D" w:rsidRDefault="0074547A" w:rsidP="004A517D">
            <w:pPr>
              <w:spacing w:before="0"/>
              <w:jc w:val="left"/>
              <w:rPr>
                <w:rFonts w:cs="Calibri"/>
                <w:color w:val="000000"/>
                <w:szCs w:val="22"/>
                <w:lang w:eastAsia="et-EE"/>
              </w:rPr>
            </w:pPr>
            <w:r>
              <w:rPr>
                <w:rFonts w:cs="Calibri"/>
                <w:color w:val="000000"/>
                <w:szCs w:val="22"/>
                <w:lang w:eastAsia="et-EE"/>
              </w:rPr>
              <w:t>Segaolmejäätmete mehhaanilise-bioloogilise käitluse ala</w:t>
            </w:r>
          </w:p>
        </w:tc>
        <w:tc>
          <w:tcPr>
            <w:tcW w:w="1815" w:type="dxa"/>
            <w:tcBorders>
              <w:top w:val="nil"/>
              <w:left w:val="nil"/>
              <w:bottom w:val="single" w:sz="4" w:space="0" w:color="auto"/>
              <w:right w:val="single" w:sz="4" w:space="0" w:color="auto"/>
            </w:tcBorders>
            <w:shd w:val="clear" w:color="auto" w:fill="auto"/>
            <w:noWrap/>
            <w:vAlign w:val="bottom"/>
            <w:hideMark/>
          </w:tcPr>
          <w:p w14:paraId="62DA0D2F"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5.4</w:t>
            </w:r>
          </w:p>
        </w:tc>
        <w:tc>
          <w:tcPr>
            <w:tcW w:w="1675" w:type="dxa"/>
            <w:tcBorders>
              <w:top w:val="nil"/>
              <w:left w:val="nil"/>
              <w:bottom w:val="single" w:sz="4" w:space="0" w:color="auto"/>
              <w:right w:val="single" w:sz="4" w:space="0" w:color="auto"/>
            </w:tcBorders>
            <w:shd w:val="clear" w:color="auto" w:fill="auto"/>
            <w:noWrap/>
            <w:vAlign w:val="bottom"/>
            <w:hideMark/>
          </w:tcPr>
          <w:p w14:paraId="62389D3D"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10000</w:t>
            </w:r>
          </w:p>
        </w:tc>
        <w:tc>
          <w:tcPr>
            <w:tcW w:w="1675" w:type="dxa"/>
            <w:tcBorders>
              <w:top w:val="nil"/>
              <w:left w:val="nil"/>
              <w:bottom w:val="single" w:sz="4" w:space="0" w:color="auto"/>
              <w:right w:val="single" w:sz="4" w:space="0" w:color="auto"/>
            </w:tcBorders>
            <w:shd w:val="clear" w:color="auto" w:fill="auto"/>
            <w:noWrap/>
            <w:vAlign w:val="bottom"/>
            <w:hideMark/>
          </w:tcPr>
          <w:p w14:paraId="30F50CD8"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54000</w:t>
            </w:r>
          </w:p>
        </w:tc>
      </w:tr>
      <w:tr w:rsidR="004A517D" w:rsidRPr="004A517D" w14:paraId="0952F6F3" w14:textId="77777777" w:rsidTr="0074547A">
        <w:trPr>
          <w:trHeight w:val="261"/>
        </w:trPr>
        <w:tc>
          <w:tcPr>
            <w:tcW w:w="3875" w:type="dxa"/>
            <w:tcBorders>
              <w:top w:val="nil"/>
              <w:left w:val="single" w:sz="4" w:space="0" w:color="auto"/>
              <w:bottom w:val="single" w:sz="4" w:space="0" w:color="auto"/>
              <w:right w:val="single" w:sz="4" w:space="0" w:color="auto"/>
            </w:tcBorders>
            <w:shd w:val="clear" w:color="auto" w:fill="auto"/>
            <w:noWrap/>
            <w:vAlign w:val="bottom"/>
            <w:hideMark/>
          </w:tcPr>
          <w:p w14:paraId="7ED64F58" w14:textId="7EEDAB74" w:rsidR="004A517D" w:rsidRPr="004A517D" w:rsidRDefault="00EC3649" w:rsidP="004A517D">
            <w:pPr>
              <w:spacing w:before="0"/>
              <w:jc w:val="left"/>
              <w:rPr>
                <w:rFonts w:cs="Calibri"/>
                <w:color w:val="000000"/>
                <w:szCs w:val="22"/>
                <w:lang w:eastAsia="et-EE"/>
              </w:rPr>
            </w:pPr>
            <w:r>
              <w:rPr>
                <w:rFonts w:cs="Calibri"/>
                <w:color w:val="000000"/>
                <w:szCs w:val="22"/>
                <w:lang w:eastAsia="et-EE"/>
              </w:rPr>
              <w:t>Segaolmejäätmete mehhaanilise-bioloogilise käitluse ala</w:t>
            </w:r>
          </w:p>
        </w:tc>
        <w:tc>
          <w:tcPr>
            <w:tcW w:w="1815" w:type="dxa"/>
            <w:tcBorders>
              <w:top w:val="nil"/>
              <w:left w:val="nil"/>
              <w:bottom w:val="single" w:sz="4" w:space="0" w:color="auto"/>
              <w:right w:val="single" w:sz="4" w:space="0" w:color="auto"/>
            </w:tcBorders>
            <w:shd w:val="clear" w:color="auto" w:fill="auto"/>
            <w:noWrap/>
            <w:vAlign w:val="bottom"/>
            <w:hideMark/>
          </w:tcPr>
          <w:p w14:paraId="7EAECE6A"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5.4</w:t>
            </w:r>
          </w:p>
        </w:tc>
        <w:tc>
          <w:tcPr>
            <w:tcW w:w="1675" w:type="dxa"/>
            <w:tcBorders>
              <w:top w:val="nil"/>
              <w:left w:val="nil"/>
              <w:bottom w:val="single" w:sz="4" w:space="0" w:color="auto"/>
              <w:right w:val="single" w:sz="4" w:space="0" w:color="auto"/>
            </w:tcBorders>
            <w:shd w:val="clear" w:color="auto" w:fill="auto"/>
            <w:noWrap/>
            <w:vAlign w:val="bottom"/>
            <w:hideMark/>
          </w:tcPr>
          <w:p w14:paraId="1331A4A2"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4500</w:t>
            </w:r>
          </w:p>
        </w:tc>
        <w:tc>
          <w:tcPr>
            <w:tcW w:w="1675" w:type="dxa"/>
            <w:tcBorders>
              <w:top w:val="nil"/>
              <w:left w:val="nil"/>
              <w:bottom w:val="single" w:sz="4" w:space="0" w:color="auto"/>
              <w:right w:val="single" w:sz="4" w:space="0" w:color="auto"/>
            </w:tcBorders>
            <w:shd w:val="clear" w:color="auto" w:fill="auto"/>
            <w:noWrap/>
            <w:vAlign w:val="bottom"/>
            <w:hideMark/>
          </w:tcPr>
          <w:p w14:paraId="72859285"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24300</w:t>
            </w:r>
          </w:p>
        </w:tc>
      </w:tr>
      <w:tr w:rsidR="004A517D" w:rsidRPr="004A517D" w14:paraId="39F1E5D6" w14:textId="77777777" w:rsidTr="0074547A">
        <w:trPr>
          <w:trHeight w:val="261"/>
        </w:trPr>
        <w:tc>
          <w:tcPr>
            <w:tcW w:w="3875" w:type="dxa"/>
            <w:tcBorders>
              <w:top w:val="nil"/>
              <w:left w:val="single" w:sz="4" w:space="0" w:color="auto"/>
              <w:bottom w:val="single" w:sz="4" w:space="0" w:color="auto"/>
              <w:right w:val="single" w:sz="4" w:space="0" w:color="auto"/>
            </w:tcBorders>
            <w:shd w:val="clear" w:color="auto" w:fill="auto"/>
            <w:noWrap/>
            <w:vAlign w:val="bottom"/>
            <w:hideMark/>
          </w:tcPr>
          <w:p w14:paraId="4ED87ADA" w14:textId="121322D8" w:rsidR="004A517D" w:rsidRPr="004A517D" w:rsidRDefault="00EC3649" w:rsidP="004A517D">
            <w:pPr>
              <w:spacing w:before="0"/>
              <w:jc w:val="left"/>
              <w:rPr>
                <w:rFonts w:cs="Calibri"/>
                <w:color w:val="000000"/>
                <w:szCs w:val="22"/>
                <w:lang w:eastAsia="et-EE"/>
              </w:rPr>
            </w:pPr>
            <w:r>
              <w:rPr>
                <w:rFonts w:cs="Calibri"/>
                <w:color w:val="000000"/>
                <w:szCs w:val="22"/>
                <w:lang w:eastAsia="et-EE"/>
              </w:rPr>
              <w:t>Puidu ja ehitusjäätmete purustamine- ja sõelumise ala</w:t>
            </w:r>
          </w:p>
        </w:tc>
        <w:tc>
          <w:tcPr>
            <w:tcW w:w="1815" w:type="dxa"/>
            <w:tcBorders>
              <w:top w:val="nil"/>
              <w:left w:val="nil"/>
              <w:bottom w:val="single" w:sz="4" w:space="0" w:color="auto"/>
              <w:right w:val="single" w:sz="4" w:space="0" w:color="auto"/>
            </w:tcBorders>
            <w:shd w:val="clear" w:color="auto" w:fill="auto"/>
            <w:noWrap/>
            <w:vAlign w:val="bottom"/>
            <w:hideMark/>
          </w:tcPr>
          <w:p w14:paraId="61EDEE56"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1.3</w:t>
            </w:r>
          </w:p>
        </w:tc>
        <w:tc>
          <w:tcPr>
            <w:tcW w:w="1675" w:type="dxa"/>
            <w:tcBorders>
              <w:top w:val="nil"/>
              <w:left w:val="nil"/>
              <w:bottom w:val="single" w:sz="4" w:space="0" w:color="auto"/>
              <w:right w:val="single" w:sz="4" w:space="0" w:color="auto"/>
            </w:tcBorders>
            <w:shd w:val="clear" w:color="auto" w:fill="auto"/>
            <w:noWrap/>
            <w:vAlign w:val="bottom"/>
            <w:hideMark/>
          </w:tcPr>
          <w:p w14:paraId="7FDD3DB8"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2500</w:t>
            </w:r>
          </w:p>
        </w:tc>
        <w:tc>
          <w:tcPr>
            <w:tcW w:w="1675" w:type="dxa"/>
            <w:tcBorders>
              <w:top w:val="nil"/>
              <w:left w:val="nil"/>
              <w:bottom w:val="single" w:sz="4" w:space="0" w:color="auto"/>
              <w:right w:val="single" w:sz="4" w:space="0" w:color="auto"/>
            </w:tcBorders>
            <w:shd w:val="clear" w:color="auto" w:fill="auto"/>
            <w:noWrap/>
            <w:vAlign w:val="bottom"/>
            <w:hideMark/>
          </w:tcPr>
          <w:p w14:paraId="6595ABEF" w14:textId="77777777" w:rsidR="004A517D" w:rsidRPr="004A517D" w:rsidRDefault="004A517D" w:rsidP="004A517D">
            <w:pPr>
              <w:spacing w:before="0"/>
              <w:jc w:val="right"/>
              <w:rPr>
                <w:rFonts w:cs="Calibri"/>
                <w:color w:val="000000"/>
                <w:szCs w:val="22"/>
                <w:lang w:eastAsia="et-EE"/>
              </w:rPr>
            </w:pPr>
            <w:r w:rsidRPr="004A517D">
              <w:rPr>
                <w:rFonts w:cs="Calibri"/>
                <w:color w:val="000000"/>
                <w:szCs w:val="22"/>
                <w:lang w:eastAsia="et-EE"/>
              </w:rPr>
              <w:t>3250</w:t>
            </w:r>
          </w:p>
        </w:tc>
      </w:tr>
      <w:tr w:rsidR="00C3265D" w:rsidRPr="004A517D" w14:paraId="76C712C4" w14:textId="77777777" w:rsidTr="0074547A">
        <w:trPr>
          <w:trHeight w:val="261"/>
        </w:trPr>
        <w:tc>
          <w:tcPr>
            <w:tcW w:w="3875" w:type="dxa"/>
            <w:tcBorders>
              <w:top w:val="nil"/>
              <w:left w:val="single" w:sz="4" w:space="0" w:color="auto"/>
              <w:bottom w:val="single" w:sz="4" w:space="0" w:color="auto"/>
              <w:right w:val="single" w:sz="4" w:space="0" w:color="auto"/>
            </w:tcBorders>
            <w:shd w:val="clear" w:color="auto" w:fill="auto"/>
            <w:noWrap/>
            <w:vAlign w:val="bottom"/>
          </w:tcPr>
          <w:p w14:paraId="5CDE3927" w14:textId="62C6266D" w:rsidR="00C3265D" w:rsidRDefault="00C3265D" w:rsidP="00C3265D">
            <w:pPr>
              <w:spacing w:before="0"/>
              <w:jc w:val="left"/>
              <w:rPr>
                <w:rFonts w:cs="Calibri"/>
                <w:color w:val="000000"/>
                <w:szCs w:val="22"/>
                <w:lang w:eastAsia="et-EE"/>
              </w:rPr>
            </w:pPr>
            <w:proofErr w:type="spellStart"/>
            <w:r>
              <w:rPr>
                <w:rFonts w:cs="Calibri"/>
                <w:color w:val="000000"/>
                <w:szCs w:val="22"/>
                <w:lang w:eastAsia="et-EE"/>
              </w:rPr>
              <w:lastRenderedPageBreak/>
              <w:t>Nõrgvee</w:t>
            </w:r>
            <w:proofErr w:type="spellEnd"/>
            <w:r>
              <w:rPr>
                <w:rFonts w:cs="Calibri"/>
                <w:color w:val="000000"/>
                <w:szCs w:val="22"/>
                <w:lang w:eastAsia="et-EE"/>
              </w:rPr>
              <w:t xml:space="preserve"> bassein</w:t>
            </w:r>
          </w:p>
        </w:tc>
        <w:tc>
          <w:tcPr>
            <w:tcW w:w="1815" w:type="dxa"/>
            <w:tcBorders>
              <w:top w:val="nil"/>
              <w:left w:val="nil"/>
              <w:bottom w:val="single" w:sz="4" w:space="0" w:color="auto"/>
              <w:right w:val="single" w:sz="4" w:space="0" w:color="auto"/>
            </w:tcBorders>
            <w:shd w:val="clear" w:color="auto" w:fill="auto"/>
            <w:noWrap/>
            <w:vAlign w:val="bottom"/>
          </w:tcPr>
          <w:p w14:paraId="5443802F" w14:textId="076B6514" w:rsidR="00C3265D" w:rsidRPr="004A517D" w:rsidRDefault="00C3265D" w:rsidP="00C3265D">
            <w:pPr>
              <w:spacing w:before="0"/>
              <w:jc w:val="right"/>
              <w:rPr>
                <w:rFonts w:cs="Calibri"/>
                <w:color w:val="000000"/>
                <w:szCs w:val="22"/>
                <w:lang w:eastAsia="et-EE"/>
              </w:rPr>
            </w:pPr>
            <w:r>
              <w:rPr>
                <w:rFonts w:cs="Calibri"/>
                <w:color w:val="000000"/>
                <w:szCs w:val="22"/>
                <w:lang w:eastAsia="et-EE"/>
              </w:rPr>
              <w:t>21.5</w:t>
            </w:r>
          </w:p>
        </w:tc>
        <w:tc>
          <w:tcPr>
            <w:tcW w:w="1675" w:type="dxa"/>
            <w:tcBorders>
              <w:top w:val="nil"/>
              <w:left w:val="nil"/>
              <w:bottom w:val="single" w:sz="4" w:space="0" w:color="auto"/>
              <w:right w:val="single" w:sz="4" w:space="0" w:color="auto"/>
            </w:tcBorders>
            <w:shd w:val="clear" w:color="auto" w:fill="auto"/>
            <w:noWrap/>
            <w:vAlign w:val="bottom"/>
          </w:tcPr>
          <w:p w14:paraId="3C995DF2" w14:textId="792C030E" w:rsidR="00C3265D" w:rsidRPr="004A517D" w:rsidRDefault="00C3265D" w:rsidP="00C3265D">
            <w:pPr>
              <w:spacing w:before="0"/>
              <w:jc w:val="right"/>
              <w:rPr>
                <w:rFonts w:cs="Calibri"/>
                <w:color w:val="000000"/>
                <w:szCs w:val="22"/>
                <w:lang w:eastAsia="et-EE"/>
              </w:rPr>
            </w:pPr>
            <w:r>
              <w:rPr>
                <w:rFonts w:cs="Calibri"/>
                <w:color w:val="000000"/>
                <w:szCs w:val="22"/>
              </w:rPr>
              <w:t>1800</w:t>
            </w:r>
          </w:p>
        </w:tc>
        <w:tc>
          <w:tcPr>
            <w:tcW w:w="1675" w:type="dxa"/>
            <w:tcBorders>
              <w:top w:val="nil"/>
              <w:left w:val="nil"/>
              <w:bottom w:val="single" w:sz="4" w:space="0" w:color="auto"/>
              <w:right w:val="single" w:sz="4" w:space="0" w:color="auto"/>
            </w:tcBorders>
            <w:shd w:val="clear" w:color="auto" w:fill="auto"/>
            <w:noWrap/>
            <w:vAlign w:val="bottom"/>
          </w:tcPr>
          <w:p w14:paraId="62B5E2B5" w14:textId="287E2BF2" w:rsidR="00C3265D" w:rsidRPr="004A517D" w:rsidRDefault="00C3265D" w:rsidP="00C3265D">
            <w:pPr>
              <w:spacing w:before="0"/>
              <w:jc w:val="right"/>
              <w:rPr>
                <w:rFonts w:cs="Calibri"/>
                <w:color w:val="000000"/>
                <w:szCs w:val="22"/>
                <w:lang w:eastAsia="et-EE"/>
              </w:rPr>
            </w:pPr>
            <w:r>
              <w:rPr>
                <w:rFonts w:cs="Calibri"/>
                <w:color w:val="000000"/>
                <w:szCs w:val="22"/>
              </w:rPr>
              <w:t>38520</w:t>
            </w:r>
          </w:p>
        </w:tc>
      </w:tr>
      <w:tr w:rsidR="002E472A" w:rsidRPr="004A517D" w14:paraId="002E9E66" w14:textId="77777777" w:rsidTr="0074547A">
        <w:trPr>
          <w:trHeight w:val="261"/>
        </w:trPr>
        <w:tc>
          <w:tcPr>
            <w:tcW w:w="3875" w:type="dxa"/>
            <w:tcBorders>
              <w:top w:val="nil"/>
              <w:left w:val="single" w:sz="4" w:space="0" w:color="auto"/>
              <w:bottom w:val="single" w:sz="4" w:space="0" w:color="auto"/>
              <w:right w:val="single" w:sz="4" w:space="0" w:color="auto"/>
            </w:tcBorders>
            <w:shd w:val="clear" w:color="auto" w:fill="auto"/>
            <w:noWrap/>
            <w:vAlign w:val="bottom"/>
          </w:tcPr>
          <w:p w14:paraId="3A59919F" w14:textId="275CF182" w:rsidR="002E472A" w:rsidRDefault="002E472A" w:rsidP="002E472A">
            <w:pPr>
              <w:spacing w:before="0"/>
              <w:jc w:val="left"/>
              <w:rPr>
                <w:rFonts w:cs="Calibri"/>
                <w:color w:val="000000"/>
                <w:szCs w:val="22"/>
                <w:lang w:eastAsia="et-EE"/>
              </w:rPr>
            </w:pPr>
            <w:r>
              <w:rPr>
                <w:rFonts w:cs="Calibri"/>
                <w:color w:val="000000"/>
                <w:szCs w:val="22"/>
                <w:lang w:eastAsia="et-EE"/>
              </w:rPr>
              <w:t>Kompostimine</w:t>
            </w:r>
          </w:p>
        </w:tc>
        <w:tc>
          <w:tcPr>
            <w:tcW w:w="1815" w:type="dxa"/>
            <w:tcBorders>
              <w:top w:val="nil"/>
              <w:left w:val="nil"/>
              <w:bottom w:val="single" w:sz="4" w:space="0" w:color="auto"/>
              <w:right w:val="single" w:sz="4" w:space="0" w:color="auto"/>
            </w:tcBorders>
            <w:shd w:val="clear" w:color="auto" w:fill="auto"/>
            <w:noWrap/>
            <w:vAlign w:val="bottom"/>
          </w:tcPr>
          <w:p w14:paraId="19345FB3" w14:textId="367BD412" w:rsidR="002E472A" w:rsidRDefault="002E472A" w:rsidP="002E472A">
            <w:pPr>
              <w:spacing w:before="0"/>
              <w:jc w:val="right"/>
              <w:rPr>
                <w:rFonts w:cs="Calibri"/>
                <w:color w:val="000000"/>
                <w:szCs w:val="22"/>
                <w:lang w:eastAsia="et-EE"/>
              </w:rPr>
            </w:pPr>
            <w:r>
              <w:rPr>
                <w:rFonts w:cs="Calibri"/>
                <w:color w:val="000000"/>
                <w:szCs w:val="22"/>
              </w:rPr>
              <w:t>3.2</w:t>
            </w:r>
          </w:p>
        </w:tc>
        <w:tc>
          <w:tcPr>
            <w:tcW w:w="1675" w:type="dxa"/>
            <w:tcBorders>
              <w:top w:val="nil"/>
              <w:left w:val="nil"/>
              <w:bottom w:val="single" w:sz="4" w:space="0" w:color="auto"/>
              <w:right w:val="single" w:sz="4" w:space="0" w:color="auto"/>
            </w:tcBorders>
            <w:shd w:val="clear" w:color="auto" w:fill="auto"/>
            <w:noWrap/>
            <w:vAlign w:val="bottom"/>
          </w:tcPr>
          <w:p w14:paraId="09480ED4" w14:textId="1EBF39F9" w:rsidR="002E472A" w:rsidRDefault="002E472A" w:rsidP="002E472A">
            <w:pPr>
              <w:spacing w:before="0"/>
              <w:jc w:val="right"/>
              <w:rPr>
                <w:rFonts w:cs="Calibri"/>
                <w:color w:val="000000"/>
                <w:szCs w:val="22"/>
              </w:rPr>
            </w:pPr>
            <w:r>
              <w:rPr>
                <w:rFonts w:cs="Calibri"/>
                <w:color w:val="000000"/>
                <w:szCs w:val="22"/>
              </w:rPr>
              <w:t>2000</w:t>
            </w:r>
          </w:p>
        </w:tc>
        <w:tc>
          <w:tcPr>
            <w:tcW w:w="1675" w:type="dxa"/>
            <w:tcBorders>
              <w:top w:val="nil"/>
              <w:left w:val="nil"/>
              <w:bottom w:val="single" w:sz="4" w:space="0" w:color="auto"/>
              <w:right w:val="single" w:sz="4" w:space="0" w:color="auto"/>
            </w:tcBorders>
            <w:shd w:val="clear" w:color="auto" w:fill="auto"/>
            <w:noWrap/>
            <w:vAlign w:val="bottom"/>
          </w:tcPr>
          <w:p w14:paraId="2C6D825B" w14:textId="291FB5B6" w:rsidR="002E472A" w:rsidRDefault="002E472A" w:rsidP="002E472A">
            <w:pPr>
              <w:spacing w:before="0"/>
              <w:jc w:val="right"/>
              <w:rPr>
                <w:rFonts w:cs="Calibri"/>
                <w:color w:val="000000"/>
                <w:szCs w:val="22"/>
              </w:rPr>
            </w:pPr>
            <w:r>
              <w:rPr>
                <w:rFonts w:cs="Calibri"/>
                <w:color w:val="000000"/>
                <w:szCs w:val="22"/>
              </w:rPr>
              <w:t>6400</w:t>
            </w:r>
          </w:p>
        </w:tc>
      </w:tr>
      <w:tr w:rsidR="002E472A" w:rsidRPr="004A517D" w14:paraId="240AC436" w14:textId="77777777" w:rsidTr="0074547A">
        <w:trPr>
          <w:trHeight w:val="261"/>
        </w:trPr>
        <w:tc>
          <w:tcPr>
            <w:tcW w:w="3875" w:type="dxa"/>
            <w:tcBorders>
              <w:top w:val="nil"/>
              <w:left w:val="single" w:sz="4" w:space="0" w:color="auto"/>
              <w:bottom w:val="single" w:sz="4" w:space="0" w:color="auto"/>
              <w:right w:val="single" w:sz="4" w:space="0" w:color="auto"/>
            </w:tcBorders>
            <w:shd w:val="clear" w:color="auto" w:fill="auto"/>
            <w:noWrap/>
            <w:vAlign w:val="bottom"/>
            <w:hideMark/>
          </w:tcPr>
          <w:p w14:paraId="100B1FCE" w14:textId="77777777" w:rsidR="002E472A" w:rsidRPr="004A517D" w:rsidRDefault="002E472A" w:rsidP="002E472A">
            <w:pPr>
              <w:spacing w:before="0"/>
              <w:jc w:val="left"/>
              <w:rPr>
                <w:rFonts w:cs="Calibri"/>
                <w:color w:val="000000"/>
                <w:szCs w:val="22"/>
                <w:lang w:eastAsia="et-EE"/>
              </w:rPr>
            </w:pPr>
            <w:r w:rsidRPr="004A517D">
              <w:rPr>
                <w:rFonts w:cs="Calibri"/>
                <w:color w:val="000000"/>
                <w:szCs w:val="22"/>
                <w:lang w:eastAsia="et-EE"/>
              </w:rPr>
              <w:t>KOKKU</w:t>
            </w:r>
          </w:p>
        </w:tc>
        <w:tc>
          <w:tcPr>
            <w:tcW w:w="1815" w:type="dxa"/>
            <w:tcBorders>
              <w:top w:val="nil"/>
              <w:left w:val="nil"/>
              <w:bottom w:val="single" w:sz="4" w:space="0" w:color="auto"/>
              <w:right w:val="single" w:sz="4" w:space="0" w:color="auto"/>
            </w:tcBorders>
            <w:shd w:val="clear" w:color="auto" w:fill="auto"/>
            <w:noWrap/>
            <w:vAlign w:val="bottom"/>
            <w:hideMark/>
          </w:tcPr>
          <w:p w14:paraId="15CFEC3E" w14:textId="2AC26A3B" w:rsidR="002E472A" w:rsidRPr="004A517D" w:rsidRDefault="002E472A" w:rsidP="002E472A">
            <w:pPr>
              <w:spacing w:before="0"/>
              <w:jc w:val="left"/>
              <w:rPr>
                <w:rFonts w:cs="Calibri"/>
                <w:color w:val="000000"/>
                <w:szCs w:val="22"/>
                <w:lang w:eastAsia="et-EE"/>
              </w:rPr>
            </w:pPr>
            <w:r>
              <w:rPr>
                <w:rFonts w:cs="Calibri"/>
                <w:color w:val="000000"/>
                <w:szCs w:val="22"/>
              </w:rPr>
              <w:t> </w:t>
            </w:r>
          </w:p>
        </w:tc>
        <w:tc>
          <w:tcPr>
            <w:tcW w:w="1675" w:type="dxa"/>
            <w:tcBorders>
              <w:top w:val="nil"/>
              <w:left w:val="nil"/>
              <w:bottom w:val="single" w:sz="4" w:space="0" w:color="auto"/>
              <w:right w:val="single" w:sz="4" w:space="0" w:color="auto"/>
            </w:tcBorders>
            <w:shd w:val="clear" w:color="auto" w:fill="auto"/>
            <w:noWrap/>
            <w:vAlign w:val="bottom"/>
            <w:hideMark/>
          </w:tcPr>
          <w:p w14:paraId="64A6C829" w14:textId="56FE45F3" w:rsidR="002E472A" w:rsidRPr="004A517D" w:rsidRDefault="002E472A" w:rsidP="002E472A">
            <w:pPr>
              <w:spacing w:before="0"/>
              <w:jc w:val="right"/>
              <w:rPr>
                <w:rFonts w:cs="Calibri"/>
                <w:color w:val="000000"/>
                <w:szCs w:val="22"/>
                <w:lang w:eastAsia="et-EE"/>
              </w:rPr>
            </w:pPr>
            <w:r>
              <w:rPr>
                <w:rFonts w:cs="Calibri"/>
                <w:color w:val="000000"/>
                <w:szCs w:val="22"/>
              </w:rPr>
              <w:t>74800</w:t>
            </w:r>
          </w:p>
        </w:tc>
        <w:tc>
          <w:tcPr>
            <w:tcW w:w="1675" w:type="dxa"/>
            <w:tcBorders>
              <w:top w:val="nil"/>
              <w:left w:val="nil"/>
              <w:bottom w:val="single" w:sz="4" w:space="0" w:color="auto"/>
              <w:right w:val="single" w:sz="4" w:space="0" w:color="auto"/>
            </w:tcBorders>
            <w:shd w:val="clear" w:color="auto" w:fill="auto"/>
            <w:noWrap/>
            <w:vAlign w:val="bottom"/>
            <w:hideMark/>
          </w:tcPr>
          <w:p w14:paraId="6D59AB3A" w14:textId="51DD00F1" w:rsidR="002E472A" w:rsidRPr="004A517D" w:rsidRDefault="002E472A" w:rsidP="002E472A">
            <w:pPr>
              <w:spacing w:before="0"/>
              <w:jc w:val="right"/>
              <w:rPr>
                <w:rFonts w:cs="Calibri"/>
                <w:color w:val="000000"/>
                <w:szCs w:val="22"/>
                <w:lang w:eastAsia="et-EE"/>
              </w:rPr>
            </w:pPr>
            <w:r>
              <w:rPr>
                <w:rFonts w:cs="Calibri"/>
                <w:color w:val="000000"/>
                <w:szCs w:val="22"/>
              </w:rPr>
              <w:t>196130</w:t>
            </w:r>
          </w:p>
        </w:tc>
      </w:tr>
    </w:tbl>
    <w:p w14:paraId="2E7A22C7" w14:textId="4E582A82" w:rsidR="00400AEC" w:rsidRPr="00814708" w:rsidRDefault="00400AEC" w:rsidP="00400AEC">
      <w:r w:rsidRPr="00814708">
        <w:t>Lõhnaainete esinemist reguleerib keskkonnaministri 27.12.2016 määrus nr 81 “Lõhnaaine esinemise hindamise kord, hindamisele esitatavad nõuded ja lõhnaaine esinemise häiringutasemed”. Lõhnaainetele on kehtestatud piirväärtus, mis on seotud lõhnaainete ajalise esinemisprotsendiga aasta lõikes, milleks on 15% aasta lõhnatundidest. See tähendab, et lõhnaainete kontsentratsiooni loetakse häirivaks, kui lõhnaaine kontsentratsioonil 0,25 OU/m</w:t>
      </w:r>
      <w:r w:rsidRPr="00814708">
        <w:rPr>
          <w:vertAlign w:val="superscript"/>
        </w:rPr>
        <w:t>3</w:t>
      </w:r>
      <w:r w:rsidRPr="00814708">
        <w:t xml:space="preserve"> ületatakse 15% aasta lõhnatundidest. Lõhnatunni ja astronoomilise tunni vahe seisneb asjaolus, et üks lõhnatund on teoreetiline suurus, mille juures eeldatakse, et kui välimõõtmistel tehti kindlaks, et lõhn esines mõõtepunktis 3x10 minutilise perioodi jooksul rohkem kui 50% ajast, siis loetakse see lõhnatunniks. Lõhna tugevuse väljendamiseks on kasutusel Euroopa lõhnaühik (</w:t>
      </w:r>
      <w:proofErr w:type="spellStart"/>
      <w:r w:rsidRPr="00814708">
        <w:t>OU</w:t>
      </w:r>
      <w:r w:rsidRPr="00814708">
        <w:rPr>
          <w:vertAlign w:val="subscript"/>
        </w:rPr>
        <w:t>e</w:t>
      </w:r>
      <w:proofErr w:type="spellEnd"/>
      <w:r w:rsidRPr="00814708">
        <w:t>), mis on selline lõhnaainete kogus, mille aurustumisel 1 m</w:t>
      </w:r>
      <w:r w:rsidRPr="00814708">
        <w:rPr>
          <w:vertAlign w:val="superscript"/>
        </w:rPr>
        <w:t>3</w:t>
      </w:r>
      <w:r w:rsidRPr="00814708">
        <w:t xml:space="preserve"> neutraalsesse gaasi kutsub lõhnaeksperdis esile füsioloogilise reageeringu ehk lõhna tuvastamise ning lõhna kontsentratsioon 1 </w:t>
      </w:r>
      <w:proofErr w:type="spellStart"/>
      <w:r w:rsidRPr="00814708">
        <w:t>OU</w:t>
      </w:r>
      <w:r w:rsidRPr="00814708">
        <w:rPr>
          <w:vertAlign w:val="subscript"/>
        </w:rPr>
        <w:t>e</w:t>
      </w:r>
      <w:proofErr w:type="spellEnd"/>
      <w:r w:rsidRPr="00814708">
        <w:t>/m</w:t>
      </w:r>
      <w:r w:rsidRPr="00814708">
        <w:rPr>
          <w:vertAlign w:val="superscript"/>
        </w:rPr>
        <w:t>3</w:t>
      </w:r>
      <w:r w:rsidRPr="00814708">
        <w:t xml:space="preserve"> on tuvastatav 50 % lõhnaekspertidest.</w:t>
      </w:r>
    </w:p>
    <w:p w14:paraId="1E94F101" w14:textId="374B14F5" w:rsidR="00400AEC" w:rsidRPr="00814708" w:rsidRDefault="00400AEC" w:rsidP="00400AEC">
      <w:r w:rsidRPr="00814708">
        <w:t>Ebameeldiva lõhna põhjustavad väävelvesiniku, ammoniaagi ja LOÜ esinemine</w:t>
      </w:r>
      <w:r w:rsidR="005F50F7">
        <w:t xml:space="preserve"> segaolmejäätmete koosseisus olevate</w:t>
      </w:r>
      <w:r w:rsidRPr="00814708">
        <w:t xml:space="preserve"> </w:t>
      </w:r>
      <w:r>
        <w:t>biolagunevate jäätmete</w:t>
      </w:r>
      <w:r w:rsidRPr="00814708">
        <w:t xml:space="preserve"> laguproduktides. </w:t>
      </w:r>
    </w:p>
    <w:p w14:paraId="52EE7C7E" w14:textId="77777777" w:rsidR="00400AEC" w:rsidRDefault="00400AEC" w:rsidP="00400AEC">
      <w:pPr>
        <w:rPr>
          <w:b/>
        </w:rPr>
      </w:pPr>
      <w:r w:rsidRPr="00814708">
        <w:t xml:space="preserve">Lõhnaainete </w:t>
      </w:r>
      <w:r>
        <w:t>heitkoguse</w:t>
      </w:r>
      <w:r w:rsidRPr="00814708">
        <w:t>arvutamiseks on kasutatud keskkonnaministri 27.12.2016 määrust nr 81 „Lõhnaaine esinemise hindamise kord, hindamisele esitatavad nõuded ja lõhnaaine esinemise häiringutasemed“.</w:t>
      </w:r>
      <w:r w:rsidRPr="00814708">
        <w:rPr>
          <w:b/>
        </w:rPr>
        <w:t xml:space="preserve"> </w:t>
      </w:r>
    </w:p>
    <w:p w14:paraId="222AD267" w14:textId="72425C42" w:rsidR="00400AEC" w:rsidRPr="0075683A" w:rsidRDefault="00400AEC" w:rsidP="00400AEC">
      <w:r>
        <w:t>Lõhnaainete</w:t>
      </w:r>
      <w:r w:rsidRPr="0075683A">
        <w:t xml:space="preserve"> atmosfääris hajumise arvutuseks on kasutatud US-EPA poolt välja töötatud Gaussi difusioonivõrrandil põhineva arvutusmudeli </w:t>
      </w:r>
      <w:proofErr w:type="spellStart"/>
      <w:r w:rsidRPr="0075683A">
        <w:t>Aermod</w:t>
      </w:r>
      <w:proofErr w:type="spellEnd"/>
      <w:r w:rsidRPr="0075683A">
        <w:t xml:space="preserve"> versiooni 18081. Mudelit kasutati tarkvara AERMOD </w:t>
      </w:r>
      <w:proofErr w:type="spellStart"/>
      <w:r w:rsidRPr="0075683A">
        <w:t>View</w:t>
      </w:r>
      <w:proofErr w:type="spellEnd"/>
      <w:r w:rsidRPr="0075683A">
        <w:t xml:space="preserve"> abil, mis on toodetud </w:t>
      </w:r>
      <w:proofErr w:type="spellStart"/>
      <w:r w:rsidRPr="0075683A">
        <w:t>Lakes</w:t>
      </w:r>
      <w:proofErr w:type="spellEnd"/>
      <w:r w:rsidRPr="0075683A">
        <w:t xml:space="preserve"> Environmental Software poolt. </w:t>
      </w:r>
      <w:proofErr w:type="spellStart"/>
      <w:r w:rsidRPr="0075683A">
        <w:t>Aermod</w:t>
      </w:r>
      <w:proofErr w:type="spellEnd"/>
      <w:r w:rsidRPr="0075683A">
        <w:t xml:space="preserve"> on kasutusel ametliku arvutusmudelina peale USA veel mitmetes riikides. Gaussi difusioonivõrrandi mudelil põhinevaid arvutiprogramme on lubatud kasutada vastavalt keskkonnaministri 27. detsembri 2016. a. määrusele nr. 84. </w:t>
      </w:r>
    </w:p>
    <w:p w14:paraId="5FD69115" w14:textId="77777777" w:rsidR="00400AEC" w:rsidRPr="0075683A" w:rsidRDefault="00400AEC" w:rsidP="00400AEC">
      <w:r w:rsidRPr="0075683A">
        <w:t xml:space="preserve">Mudelarvutustes on modelleerimisvõrgustiku ruudu suuruseks valitud </w:t>
      </w:r>
      <w:r>
        <w:t>50</w:t>
      </w:r>
      <w:r w:rsidRPr="0075683A">
        <w:t xml:space="preserve"> × </w:t>
      </w:r>
      <w:r>
        <w:t>50</w:t>
      </w:r>
      <w:r w:rsidRPr="0075683A">
        <w:t xml:space="preserve"> m. </w:t>
      </w:r>
      <w:r>
        <w:t xml:space="preserve">Maapinna kõrgusandmete arvestamiseks kasutati tarkvara moodulit AERMAP ning andmed pärinevad Maa-ametilt (kasutati 5x5 ruudustikuga kõrgusandmeid). </w:t>
      </w:r>
    </w:p>
    <w:p w14:paraId="4588C066" w14:textId="4F2D9A97" w:rsidR="00400AEC" w:rsidRPr="0075683A" w:rsidRDefault="00400AEC" w:rsidP="00400AEC">
      <w:r w:rsidRPr="0075683A">
        <w:t xml:space="preserve">Kliimaandmetena kasutati </w:t>
      </w:r>
      <w:r w:rsidR="00B03DC1">
        <w:t>Jõhvi</w:t>
      </w:r>
      <w:r w:rsidRPr="0075683A">
        <w:t xml:space="preserve"> meteoroloogiajaama </w:t>
      </w:r>
      <w:r w:rsidR="00B03DC1">
        <w:t>20</w:t>
      </w:r>
      <w:r w:rsidR="00FD5070">
        <w:t>20</w:t>
      </w:r>
      <w:r w:rsidRPr="0075683A">
        <w:t xml:space="preserve"> aasta vajalikke kliimaandmeid, mis töödeldi AERMOD tarkvara mooduliga AERMET. Kliimaandmed saadi avalikust andmebaasist, mis on kättesaadav </w:t>
      </w:r>
      <w:hyperlink r:id="rId11" w:history="1">
        <w:r w:rsidRPr="00EC1FDE">
          <w:rPr>
            <w:rStyle w:val="Hperlink"/>
          </w:rPr>
          <w:t>ftp://ftp.ncdc.noaa.gov/pub/data/noaa</w:t>
        </w:r>
      </w:hyperlink>
      <w:r w:rsidRPr="0075683A">
        <w:t xml:space="preserve">  Nn ülemise kihi kliimaandmed genereeriti AERMET mooduli abil. </w:t>
      </w:r>
    </w:p>
    <w:p w14:paraId="2A49E6DE" w14:textId="77777777" w:rsidR="00400AEC" w:rsidRPr="00600653" w:rsidRDefault="00400AEC" w:rsidP="00400AEC">
      <w:pPr>
        <w:rPr>
          <w:b/>
          <w:bCs/>
        </w:rPr>
      </w:pPr>
      <w:r w:rsidRPr="00600653">
        <w:rPr>
          <w:b/>
          <w:bCs/>
        </w:rPr>
        <w:t xml:space="preserve">Lõhna leviku hindamisel leiti tunni maksimaalne protsentiil 85 % usaldusnivool.  </w:t>
      </w:r>
    </w:p>
    <w:p w14:paraId="506D2CF8" w14:textId="77777777" w:rsidR="00400AEC" w:rsidRPr="00814708" w:rsidRDefault="00400AEC" w:rsidP="00400AEC">
      <w:pPr>
        <w:spacing w:before="240"/>
      </w:pPr>
      <w:r w:rsidRPr="00814708">
        <w:rPr>
          <w:color w:val="000000"/>
        </w:rPr>
        <w:t xml:space="preserve">Lõhnaainetele on kehtestatud piirväärtus, mis on seotud lõhnaainete ajalise </w:t>
      </w:r>
      <w:r w:rsidRPr="00814708">
        <w:t xml:space="preserve">esinemisprotsendiga aasta lõikes, milleks on 15% aasta tundidest. See tähendab, et lõhnaainete kontsentratsioon võib olla üle 0,25 </w:t>
      </w:r>
      <w:proofErr w:type="spellStart"/>
      <w:r w:rsidRPr="00814708">
        <w:t>OU</w:t>
      </w:r>
      <w:r w:rsidRPr="00814708">
        <w:rPr>
          <w:vertAlign w:val="subscript"/>
        </w:rPr>
        <w:t>e</w:t>
      </w:r>
      <w:proofErr w:type="spellEnd"/>
      <w:r w:rsidRPr="00814708">
        <w:t>/m</w:t>
      </w:r>
      <w:r w:rsidRPr="00814708">
        <w:rPr>
          <w:vertAlign w:val="superscript"/>
        </w:rPr>
        <w:t>3</w:t>
      </w:r>
      <w:r w:rsidRPr="00814708">
        <w:t xml:space="preserve"> mitte rohkem kui 15% aasta lõhnatundidest (protsentiil 85).</w:t>
      </w:r>
    </w:p>
    <w:p w14:paraId="568AADF0" w14:textId="4E7B1068" w:rsidR="001231FF" w:rsidRDefault="00400AEC" w:rsidP="00400AEC">
      <w:r>
        <w:rPr>
          <w:rFonts w:cs="Calibri"/>
          <w:szCs w:val="22"/>
          <w:lang w:eastAsia="ar-SA"/>
        </w:rPr>
        <w:t xml:space="preserve">Teostatud lõhnaainete leviku modelleering põhjal </w:t>
      </w:r>
      <w:r>
        <w:t>l</w:t>
      </w:r>
      <w:r w:rsidRPr="00814708">
        <w:t xml:space="preserve">õhnatundide ületamise häiringutase lähimate elamuteni ei ulatu. </w:t>
      </w:r>
    </w:p>
    <w:p w14:paraId="6231513A" w14:textId="19060A0B" w:rsidR="00AD5AC4" w:rsidRDefault="00AD5AC4" w:rsidP="00400AEC"/>
    <w:p w14:paraId="17BC1806" w14:textId="5F1D998D" w:rsidR="00AD5AC4" w:rsidRDefault="00AD5AC4" w:rsidP="00400AEC">
      <w:r>
        <w:t>Lõhnahinnangu koostas:</w:t>
      </w:r>
    </w:p>
    <w:p w14:paraId="221A6C75" w14:textId="77777777" w:rsidR="0004022D" w:rsidRDefault="0004022D" w:rsidP="0004022D">
      <w:pPr>
        <w:rPr>
          <w:rFonts w:eastAsia="Calibri" w:cs="Calibri"/>
          <w:noProof/>
        </w:rPr>
      </w:pPr>
      <w:bookmarkStart w:id="1" w:name="_MailAutoSig"/>
    </w:p>
    <w:p w14:paraId="6ABF7FC5" w14:textId="77777777" w:rsidR="0004022D" w:rsidRDefault="0004022D" w:rsidP="0004022D">
      <w:pPr>
        <w:spacing w:before="0"/>
        <w:rPr>
          <w:rFonts w:eastAsia="Calibri" w:cs="Calibri"/>
          <w:noProof/>
        </w:rPr>
      </w:pPr>
      <w:r>
        <w:rPr>
          <w:rFonts w:eastAsia="Calibri" w:cs="Calibri"/>
          <w:noProof/>
        </w:rPr>
        <w:t>Piret Toonpere</w:t>
      </w:r>
    </w:p>
    <w:p w14:paraId="4F959C68" w14:textId="77777777" w:rsidR="0004022D" w:rsidRDefault="0004022D" w:rsidP="0004022D">
      <w:pPr>
        <w:spacing w:before="0"/>
        <w:rPr>
          <w:rFonts w:eastAsia="Calibri" w:cs="Calibri"/>
          <w:noProof/>
        </w:rPr>
      </w:pPr>
      <w:r>
        <w:rPr>
          <w:rFonts w:eastAsia="Calibri" w:cs="Calibri"/>
          <w:noProof/>
        </w:rPr>
        <w:t>LEMMA OÜ</w:t>
      </w:r>
    </w:p>
    <w:p w14:paraId="399E1494" w14:textId="77777777" w:rsidR="0004022D" w:rsidRDefault="0004022D" w:rsidP="0004022D">
      <w:pPr>
        <w:spacing w:before="0"/>
        <w:rPr>
          <w:rFonts w:eastAsia="Calibri" w:cs="Calibri"/>
          <w:noProof/>
        </w:rPr>
      </w:pPr>
      <w:r>
        <w:rPr>
          <w:rFonts w:eastAsia="Calibri" w:cs="Calibri"/>
          <w:noProof/>
        </w:rPr>
        <w:t>keskkonnakonsultant</w:t>
      </w:r>
    </w:p>
    <w:p w14:paraId="00884098" w14:textId="77777777" w:rsidR="0004022D" w:rsidRDefault="0004022D" w:rsidP="0004022D">
      <w:pPr>
        <w:spacing w:before="0"/>
        <w:rPr>
          <w:rFonts w:eastAsia="Calibri" w:cs="Calibri"/>
          <w:noProof/>
        </w:rPr>
      </w:pPr>
      <w:r>
        <w:rPr>
          <w:rFonts w:eastAsia="Calibri" w:cs="Calibri"/>
          <w:noProof/>
        </w:rPr>
        <w:t>+372 5059914</w:t>
      </w:r>
    </w:p>
    <w:p w14:paraId="0622BDFF" w14:textId="77777777" w:rsidR="0004022D" w:rsidRDefault="00C149E6" w:rsidP="0004022D">
      <w:pPr>
        <w:spacing w:before="0"/>
        <w:rPr>
          <w:rFonts w:eastAsia="Calibri" w:cs="Calibri"/>
          <w:noProof/>
        </w:rPr>
      </w:pPr>
      <w:hyperlink r:id="rId12" w:history="1">
        <w:r w:rsidR="0004022D">
          <w:rPr>
            <w:rStyle w:val="Hperlink"/>
            <w:rFonts w:eastAsia="Calibri" w:cs="Calibri"/>
            <w:noProof/>
            <w:color w:val="0563C1"/>
          </w:rPr>
          <w:t>piret@lemma.ee</w:t>
        </w:r>
      </w:hyperlink>
    </w:p>
    <w:p w14:paraId="3441A934" w14:textId="5440CA85" w:rsidR="00400AEC" w:rsidRPr="00C149E6" w:rsidRDefault="00C149E6" w:rsidP="00C149E6">
      <w:pPr>
        <w:rPr>
          <w:rFonts w:asciiTheme="minorHAnsi" w:eastAsiaTheme="minorEastAsia" w:hAnsiTheme="minorHAnsi" w:cstheme="minorBidi"/>
          <w:noProof/>
          <w:lang w:eastAsia="et-EE"/>
        </w:rPr>
      </w:pPr>
      <w:r w:rsidRPr="00C149E6">
        <w:lastRenderedPageBreak/>
        <w:drawing>
          <wp:inline distT="0" distB="0" distL="0" distR="0" wp14:anchorId="401C4B9F" wp14:editId="188DF705">
            <wp:extent cx="5568950" cy="8438752"/>
            <wp:effectExtent l="0" t="0" r="0" b="635"/>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74489" cy="8447145"/>
                    </a:xfrm>
                    <a:prstGeom prst="rect">
                      <a:avLst/>
                    </a:prstGeom>
                  </pic:spPr>
                </pic:pic>
              </a:graphicData>
            </a:graphic>
          </wp:inline>
        </w:drawing>
      </w:r>
      <w:bookmarkEnd w:id="1"/>
    </w:p>
    <w:p w14:paraId="1698C78B" w14:textId="7CB58E21" w:rsidR="00660B13" w:rsidRDefault="00400AEC" w:rsidP="006708B2">
      <w:pPr>
        <w:pStyle w:val="Pealdis"/>
      </w:pPr>
      <w:r>
        <w:t xml:space="preserve">Joonis </w:t>
      </w:r>
      <w:fldSimple w:instr=" SEQ Joonis \* ARABIC ">
        <w:r w:rsidR="003A1650">
          <w:rPr>
            <w:noProof/>
          </w:rPr>
          <w:t>1</w:t>
        </w:r>
      </w:fldSimple>
      <w:r>
        <w:t xml:space="preserve">. </w:t>
      </w:r>
      <w:r w:rsidRPr="00CD3742">
        <w:t>Lõhnaainete kontsentratsioon käitise ümbruses.</w:t>
      </w:r>
      <w:r>
        <w:t xml:space="preserve"> Maksimaalne 1 h kontsentratsioon 85 protsentiilil.</w:t>
      </w:r>
    </w:p>
    <w:sectPr w:rsidR="00660B13" w:rsidSect="004A2CD1">
      <w:headerReference w:type="firs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8C244" w14:textId="77777777" w:rsidR="00822F11" w:rsidRDefault="00822F11" w:rsidP="00400AEC">
      <w:pPr>
        <w:spacing w:before="0"/>
      </w:pPr>
      <w:r>
        <w:separator/>
      </w:r>
    </w:p>
  </w:endnote>
  <w:endnote w:type="continuationSeparator" w:id="0">
    <w:p w14:paraId="16B57C0E" w14:textId="77777777" w:rsidR="00822F11" w:rsidRDefault="00822F11" w:rsidP="00400AE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D37295" w14:textId="77777777" w:rsidR="00822F11" w:rsidRDefault="00822F11" w:rsidP="00400AEC">
      <w:pPr>
        <w:spacing w:before="0"/>
      </w:pPr>
      <w:r>
        <w:separator/>
      </w:r>
    </w:p>
  </w:footnote>
  <w:footnote w:type="continuationSeparator" w:id="0">
    <w:p w14:paraId="05014BDA" w14:textId="77777777" w:rsidR="00822F11" w:rsidRDefault="00822F11" w:rsidP="00400AEC">
      <w:pPr>
        <w:spacing w:before="0"/>
      </w:pPr>
      <w:r>
        <w:continuationSeparator/>
      </w:r>
    </w:p>
  </w:footnote>
  <w:footnote w:id="1">
    <w:p w14:paraId="033A81AD" w14:textId="4D6D1D8A" w:rsidR="00914097" w:rsidRPr="00914097" w:rsidRDefault="00914097">
      <w:pPr>
        <w:pStyle w:val="Allmrkusetekst"/>
        <w:rPr>
          <w:lang w:val="et-EE"/>
        </w:rPr>
      </w:pPr>
      <w:r>
        <w:rPr>
          <w:rStyle w:val="Allmrkuseviide"/>
        </w:rPr>
        <w:footnoteRef/>
      </w:r>
      <w:r>
        <w:t xml:space="preserve"> </w:t>
      </w:r>
      <w:proofErr w:type="spellStart"/>
      <w:r w:rsidRPr="00914097">
        <w:t>Akhtarieva</w:t>
      </w:r>
      <w:proofErr w:type="spellEnd"/>
      <w:r w:rsidRPr="00914097">
        <w:t xml:space="preserve">, M.M.,  </w:t>
      </w:r>
      <w:proofErr w:type="spellStart"/>
      <w:r w:rsidRPr="00914097">
        <w:t>Marciulaitien</w:t>
      </w:r>
      <w:proofErr w:type="spellEnd"/>
      <w:r w:rsidRPr="00914097">
        <w:t xml:space="preserve">, E. 2017. Research on </w:t>
      </w:r>
      <w:proofErr w:type="spellStart"/>
      <w:r w:rsidRPr="00914097">
        <w:t>Odours</w:t>
      </w:r>
      <w:proofErr w:type="spellEnd"/>
      <w:r w:rsidRPr="00914097">
        <w:t xml:space="preserve"> </w:t>
      </w:r>
      <w:proofErr w:type="spellStart"/>
      <w:r w:rsidRPr="00914097">
        <w:t>Emitted</w:t>
      </w:r>
      <w:proofErr w:type="spellEnd"/>
      <w:r w:rsidRPr="00914097">
        <w:t xml:space="preserve"> </w:t>
      </w:r>
      <w:proofErr w:type="spellStart"/>
      <w:r w:rsidRPr="00914097">
        <w:t>from</w:t>
      </w:r>
      <w:proofErr w:type="spellEnd"/>
      <w:r w:rsidRPr="00914097">
        <w:t xml:space="preserve"> Non-</w:t>
      </w:r>
      <w:proofErr w:type="spellStart"/>
      <w:r w:rsidRPr="00914097">
        <w:t>Hazardous</w:t>
      </w:r>
      <w:proofErr w:type="spellEnd"/>
      <w:r w:rsidRPr="00914097">
        <w:t xml:space="preserve"> </w:t>
      </w:r>
      <w:proofErr w:type="spellStart"/>
      <w:r w:rsidRPr="00914097">
        <w:t>Waste</w:t>
      </w:r>
      <w:proofErr w:type="spellEnd"/>
      <w:r w:rsidRPr="00914097">
        <w:t xml:space="preserve"> </w:t>
      </w:r>
      <w:proofErr w:type="spellStart"/>
      <w:r w:rsidRPr="00914097">
        <w:t>Landfill</w:t>
      </w:r>
      <w:proofErr w:type="spellEnd"/>
      <w:r w:rsidRPr="00914097">
        <w:t xml:space="preserve"> </w:t>
      </w:r>
      <w:proofErr w:type="spellStart"/>
      <w:r w:rsidRPr="00914097">
        <w:t>Using</w:t>
      </w:r>
      <w:proofErr w:type="spellEnd"/>
      <w:r w:rsidRPr="00914097">
        <w:t xml:space="preserve"> </w:t>
      </w:r>
      <w:proofErr w:type="spellStart"/>
      <w:r w:rsidRPr="00914097">
        <w:t>Dynamic</w:t>
      </w:r>
      <w:proofErr w:type="spellEnd"/>
      <w:r w:rsidRPr="00914097">
        <w:t xml:space="preserve"> </w:t>
      </w:r>
      <w:proofErr w:type="spellStart"/>
      <w:r w:rsidRPr="00914097">
        <w:t>Olfactometry</w:t>
      </w:r>
      <w:proofErr w:type="spellEnd"/>
      <w:r w:rsidRPr="00914097">
        <w:t xml:space="preserve">. “Environmental Engineering” 10th International </w:t>
      </w:r>
      <w:proofErr w:type="spellStart"/>
      <w:r w:rsidRPr="00914097">
        <w:t>Conference</w:t>
      </w:r>
      <w:proofErr w:type="spellEnd"/>
      <w:r w:rsidRPr="00914097">
        <w:t xml:space="preserve"> Vilnius </w:t>
      </w:r>
      <w:proofErr w:type="spellStart"/>
      <w:r w:rsidRPr="00914097">
        <w:t>Gediminas</w:t>
      </w:r>
      <w:proofErr w:type="spellEnd"/>
      <w:r w:rsidRPr="00914097">
        <w:t xml:space="preserve"> </w:t>
      </w:r>
      <w:proofErr w:type="spellStart"/>
      <w:r w:rsidRPr="00914097">
        <w:t>Technical</w:t>
      </w:r>
      <w:proofErr w:type="spellEnd"/>
      <w:r w:rsidRPr="00914097">
        <w:t xml:space="preserve"> University. </w:t>
      </w:r>
      <w:proofErr w:type="spellStart"/>
      <w:r w:rsidRPr="00914097">
        <w:t>Lithuania</w:t>
      </w:r>
      <w:proofErr w:type="spellEnd"/>
      <w:r w:rsidRPr="00914097">
        <w:t xml:space="preserve">, 27–28 </w:t>
      </w:r>
      <w:proofErr w:type="spellStart"/>
      <w:r w:rsidRPr="00914097">
        <w:t>April</w:t>
      </w:r>
      <w:proofErr w:type="spellEnd"/>
      <w:r w:rsidRPr="00914097">
        <w:t xml:space="preserve"> 2017</w:t>
      </w:r>
      <w:r>
        <w:rPr>
          <w:lang w:val="et-E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90DB3" w14:textId="646F752D" w:rsidR="004A2CD1" w:rsidRDefault="004A2CD1">
    <w:pPr>
      <w:pStyle w:val="Pis"/>
    </w:pPr>
    <w:r>
      <w:rPr>
        <w:noProof/>
      </w:rPr>
      <w:drawing>
        <wp:inline distT="0" distB="0" distL="0" distR="0" wp14:anchorId="22EF1DAF" wp14:editId="3727C173">
          <wp:extent cx="1552575" cy="681581"/>
          <wp:effectExtent l="0" t="0" r="0" b="4445"/>
          <wp:docPr id="2" name="Pilt 2" descr="Pilt, millel on kujutatud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2" descr="Pilt, millel on kujutatud tekst&#10;&#10;Kirjeldus on genereeritud automaatselt"/>
                  <pic:cNvPicPr/>
                </pic:nvPicPr>
                <pic:blipFill>
                  <a:blip r:embed="rId1">
                    <a:extLst>
                      <a:ext uri="{28A0092B-C50C-407E-A947-70E740481C1C}">
                        <a14:useLocalDpi xmlns:a14="http://schemas.microsoft.com/office/drawing/2010/main" val="0"/>
                      </a:ext>
                    </a:extLst>
                  </a:blip>
                  <a:stretch>
                    <a:fillRect/>
                  </a:stretch>
                </pic:blipFill>
                <pic:spPr>
                  <a:xfrm>
                    <a:off x="0" y="0"/>
                    <a:ext cx="1584497" cy="69559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4D6A51"/>
    <w:multiLevelType w:val="hybridMultilevel"/>
    <w:tmpl w:val="7890BD04"/>
    <w:lvl w:ilvl="0" w:tplc="79F297FE">
      <w:start w:val="6"/>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 w15:restartNumberingAfterBreak="0">
    <w:nsid w:val="67322F14"/>
    <w:multiLevelType w:val="multilevel"/>
    <w:tmpl w:val="73EC9290"/>
    <w:lvl w:ilvl="0">
      <w:start w:val="1"/>
      <w:numFmt w:val="decimal"/>
      <w:pStyle w:val="Pealkiri1"/>
      <w:lvlText w:val="%1"/>
      <w:lvlJc w:val="left"/>
      <w:pPr>
        <w:ind w:left="432" w:hanging="432"/>
      </w:pPr>
    </w:lvl>
    <w:lvl w:ilvl="1">
      <w:start w:val="1"/>
      <w:numFmt w:val="decimal"/>
      <w:pStyle w:val="Pealkiri2"/>
      <w:lvlText w:val="%1.%2"/>
      <w:lvlJc w:val="left"/>
      <w:pPr>
        <w:ind w:left="576" w:hanging="576"/>
      </w:pPr>
    </w:lvl>
    <w:lvl w:ilvl="2">
      <w:start w:val="1"/>
      <w:numFmt w:val="decimal"/>
      <w:pStyle w:val="Pealkiri3"/>
      <w:lvlText w:val="%1.%2.%3"/>
      <w:lvlJc w:val="left"/>
      <w:pPr>
        <w:ind w:left="720" w:hanging="720"/>
      </w:pPr>
    </w:lvl>
    <w:lvl w:ilvl="3">
      <w:start w:val="1"/>
      <w:numFmt w:val="decimal"/>
      <w:pStyle w:val="Pealkiri4"/>
      <w:lvlText w:val="%1.%2.%3.%4"/>
      <w:lvlJc w:val="left"/>
      <w:pPr>
        <w:ind w:left="864" w:hanging="864"/>
      </w:pPr>
    </w:lvl>
    <w:lvl w:ilvl="4">
      <w:start w:val="1"/>
      <w:numFmt w:val="decimal"/>
      <w:pStyle w:val="Pealkiri5"/>
      <w:lvlText w:val="%1.%2.%3.%4.%5"/>
      <w:lvlJc w:val="left"/>
      <w:pPr>
        <w:ind w:left="1008" w:hanging="1008"/>
      </w:pPr>
    </w:lvl>
    <w:lvl w:ilvl="5">
      <w:start w:val="1"/>
      <w:numFmt w:val="decimal"/>
      <w:pStyle w:val="Pealkiri6"/>
      <w:lvlText w:val="%1.%2.%3.%4.%5.%6"/>
      <w:lvlJc w:val="left"/>
      <w:pPr>
        <w:ind w:left="1152" w:hanging="1152"/>
      </w:pPr>
    </w:lvl>
    <w:lvl w:ilvl="6">
      <w:start w:val="1"/>
      <w:numFmt w:val="decimal"/>
      <w:pStyle w:val="Pealkiri7"/>
      <w:lvlText w:val="%1.%2.%3.%4.%5.%6.%7"/>
      <w:lvlJc w:val="left"/>
      <w:pPr>
        <w:ind w:left="1296" w:hanging="1296"/>
      </w:pPr>
    </w:lvl>
    <w:lvl w:ilvl="7">
      <w:start w:val="1"/>
      <w:numFmt w:val="decimal"/>
      <w:pStyle w:val="Pealkiri8"/>
      <w:lvlText w:val="%1.%2.%3.%4.%5.%6.%7.%8"/>
      <w:lvlJc w:val="left"/>
      <w:pPr>
        <w:ind w:left="1440" w:hanging="1440"/>
      </w:pPr>
    </w:lvl>
    <w:lvl w:ilvl="8">
      <w:start w:val="1"/>
      <w:numFmt w:val="decimal"/>
      <w:pStyle w:val="Pealkiri9"/>
      <w:lvlText w:val="%1.%2.%3.%4.%5.%6.%7.%8.%9"/>
      <w:lvlJc w:val="left"/>
      <w:pPr>
        <w:ind w:left="1584" w:hanging="1584"/>
      </w:pPr>
    </w:lvl>
  </w:abstractNum>
  <w:num w:numId="1" w16cid:durableId="35666331">
    <w:abstractNumId w:val="1"/>
  </w:num>
  <w:num w:numId="2" w16cid:durableId="690886401">
    <w:abstractNumId w:val="1"/>
  </w:num>
  <w:num w:numId="3" w16cid:durableId="753866166">
    <w:abstractNumId w:val="1"/>
  </w:num>
  <w:num w:numId="4" w16cid:durableId="354775532">
    <w:abstractNumId w:val="1"/>
  </w:num>
  <w:num w:numId="5" w16cid:durableId="1840657212">
    <w:abstractNumId w:val="1"/>
  </w:num>
  <w:num w:numId="6" w16cid:durableId="1561407665">
    <w:abstractNumId w:val="1"/>
  </w:num>
  <w:num w:numId="7" w16cid:durableId="164902235">
    <w:abstractNumId w:val="1"/>
  </w:num>
  <w:num w:numId="8" w16cid:durableId="1530754550">
    <w:abstractNumId w:val="1"/>
  </w:num>
  <w:num w:numId="9" w16cid:durableId="842936296">
    <w:abstractNumId w:val="1"/>
  </w:num>
  <w:num w:numId="10" w16cid:durableId="1174295960">
    <w:abstractNumId w:val="1"/>
  </w:num>
  <w:num w:numId="11" w16cid:durableId="3759304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AEC"/>
    <w:rsid w:val="0004022D"/>
    <w:rsid w:val="000C4F65"/>
    <w:rsid w:val="000D4116"/>
    <w:rsid w:val="001231FF"/>
    <w:rsid w:val="00162E84"/>
    <w:rsid w:val="0019124C"/>
    <w:rsid w:val="001F0332"/>
    <w:rsid w:val="002021A3"/>
    <w:rsid w:val="00207281"/>
    <w:rsid w:val="00271AB3"/>
    <w:rsid w:val="002E472A"/>
    <w:rsid w:val="00300F30"/>
    <w:rsid w:val="003A1650"/>
    <w:rsid w:val="003C2700"/>
    <w:rsid w:val="003F3A63"/>
    <w:rsid w:val="0040021A"/>
    <w:rsid w:val="00400AEC"/>
    <w:rsid w:val="004844E3"/>
    <w:rsid w:val="004A0EAE"/>
    <w:rsid w:val="004A1FA1"/>
    <w:rsid w:val="004A2CD1"/>
    <w:rsid w:val="004A517D"/>
    <w:rsid w:val="004C466C"/>
    <w:rsid w:val="0051600E"/>
    <w:rsid w:val="0054400A"/>
    <w:rsid w:val="005945F8"/>
    <w:rsid w:val="0059700E"/>
    <w:rsid w:val="005D3610"/>
    <w:rsid w:val="005F50F7"/>
    <w:rsid w:val="00610A55"/>
    <w:rsid w:val="00660B13"/>
    <w:rsid w:val="006708B2"/>
    <w:rsid w:val="006C3A2E"/>
    <w:rsid w:val="006D4E72"/>
    <w:rsid w:val="007273CF"/>
    <w:rsid w:val="00732ED3"/>
    <w:rsid w:val="0074547A"/>
    <w:rsid w:val="0079716B"/>
    <w:rsid w:val="007C329E"/>
    <w:rsid w:val="007E3290"/>
    <w:rsid w:val="007F6034"/>
    <w:rsid w:val="00822F11"/>
    <w:rsid w:val="00841EAA"/>
    <w:rsid w:val="00844AAD"/>
    <w:rsid w:val="008D5EB1"/>
    <w:rsid w:val="00914097"/>
    <w:rsid w:val="009B140A"/>
    <w:rsid w:val="00A50DF8"/>
    <w:rsid w:val="00AA75FC"/>
    <w:rsid w:val="00AC0C7F"/>
    <w:rsid w:val="00AD5AC4"/>
    <w:rsid w:val="00B03DC1"/>
    <w:rsid w:val="00B43C32"/>
    <w:rsid w:val="00B61035"/>
    <w:rsid w:val="00B7098A"/>
    <w:rsid w:val="00BD1E3C"/>
    <w:rsid w:val="00BD66C0"/>
    <w:rsid w:val="00C149E6"/>
    <w:rsid w:val="00C3265D"/>
    <w:rsid w:val="00C434CB"/>
    <w:rsid w:val="00C908AF"/>
    <w:rsid w:val="00CA2BA5"/>
    <w:rsid w:val="00D51115"/>
    <w:rsid w:val="00D72EC4"/>
    <w:rsid w:val="00DA510A"/>
    <w:rsid w:val="00E17470"/>
    <w:rsid w:val="00EA1488"/>
    <w:rsid w:val="00EC3649"/>
    <w:rsid w:val="00ED561A"/>
    <w:rsid w:val="00EE569C"/>
    <w:rsid w:val="00EE7E18"/>
    <w:rsid w:val="00F61391"/>
    <w:rsid w:val="00F8061E"/>
    <w:rsid w:val="00FD5070"/>
    <w:rsid w:val="00FE0DE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2C37758"/>
  <w15:chartTrackingRefBased/>
  <w15:docId w15:val="{6B3F84DA-4234-4FBC-8D07-72F877EE8E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400AEC"/>
    <w:pPr>
      <w:spacing w:before="120"/>
      <w:jc w:val="both"/>
    </w:pPr>
    <w:rPr>
      <w:rFonts w:ascii="Calibri" w:hAnsi="Calibri"/>
      <w:sz w:val="22"/>
    </w:rPr>
  </w:style>
  <w:style w:type="paragraph" w:styleId="Pealkiri1">
    <w:name w:val="heading 1"/>
    <w:basedOn w:val="Normaallaad"/>
    <w:next w:val="Normaallaad"/>
    <w:link w:val="Pealkiri1Mrk"/>
    <w:uiPriority w:val="9"/>
    <w:qFormat/>
    <w:rsid w:val="007E3290"/>
    <w:pPr>
      <w:keepNext/>
      <w:keepLines/>
      <w:numPr>
        <w:numId w:val="10"/>
      </w:numPr>
      <w:spacing w:before="400"/>
      <w:outlineLvl w:val="0"/>
    </w:pPr>
    <w:rPr>
      <w:rFonts w:ascii="Trebuchet MS" w:hAnsi="Trebuchet MS"/>
      <w:b/>
      <w:bCs/>
      <w:color w:val="C00000"/>
      <w:sz w:val="28"/>
      <w:szCs w:val="28"/>
      <w:lang w:val="x-none"/>
    </w:rPr>
  </w:style>
  <w:style w:type="paragraph" w:styleId="Pealkiri2">
    <w:name w:val="heading 2"/>
    <w:basedOn w:val="Normaallaad"/>
    <w:next w:val="Normaallaad"/>
    <w:link w:val="Pealkiri2Mrk"/>
    <w:uiPriority w:val="9"/>
    <w:qFormat/>
    <w:rsid w:val="007E3290"/>
    <w:pPr>
      <w:keepNext/>
      <w:keepLines/>
      <w:numPr>
        <w:ilvl w:val="1"/>
        <w:numId w:val="10"/>
      </w:numPr>
      <w:spacing w:before="200"/>
      <w:outlineLvl w:val="1"/>
    </w:pPr>
    <w:rPr>
      <w:rFonts w:ascii="Trebuchet MS" w:hAnsi="Trebuchet MS"/>
      <w:b/>
      <w:bCs/>
      <w:color w:val="C00000"/>
      <w:sz w:val="26"/>
      <w:szCs w:val="26"/>
      <w:lang w:val="x-none"/>
    </w:rPr>
  </w:style>
  <w:style w:type="paragraph" w:styleId="Pealkiri3">
    <w:name w:val="heading 3"/>
    <w:basedOn w:val="Normaallaad"/>
    <w:next w:val="Normaallaad"/>
    <w:link w:val="Pealkiri3Mrk"/>
    <w:uiPriority w:val="9"/>
    <w:unhideWhenUsed/>
    <w:qFormat/>
    <w:rsid w:val="007E3290"/>
    <w:pPr>
      <w:keepNext/>
      <w:numPr>
        <w:ilvl w:val="2"/>
        <w:numId w:val="10"/>
      </w:numPr>
      <w:spacing w:before="240" w:after="60"/>
      <w:outlineLvl w:val="2"/>
    </w:pPr>
    <w:rPr>
      <w:rFonts w:ascii="Cambria" w:hAnsi="Cambria"/>
      <w:b/>
      <w:bCs/>
      <w:sz w:val="26"/>
      <w:szCs w:val="26"/>
    </w:rPr>
  </w:style>
  <w:style w:type="paragraph" w:styleId="Pealkiri4">
    <w:name w:val="heading 4"/>
    <w:basedOn w:val="Normaallaad"/>
    <w:next w:val="Normaallaad"/>
    <w:link w:val="Pealkiri4Mrk"/>
    <w:uiPriority w:val="9"/>
    <w:unhideWhenUsed/>
    <w:qFormat/>
    <w:rsid w:val="007E3290"/>
    <w:pPr>
      <w:keepNext/>
      <w:numPr>
        <w:ilvl w:val="3"/>
        <w:numId w:val="10"/>
      </w:numPr>
      <w:spacing w:before="240" w:after="60"/>
      <w:outlineLvl w:val="3"/>
    </w:pPr>
    <w:rPr>
      <w:b/>
      <w:bCs/>
      <w:sz w:val="28"/>
      <w:szCs w:val="28"/>
    </w:rPr>
  </w:style>
  <w:style w:type="paragraph" w:styleId="Pealkiri5">
    <w:name w:val="heading 5"/>
    <w:basedOn w:val="Normaallaad"/>
    <w:next w:val="Normaallaad"/>
    <w:link w:val="Pealkiri5Mrk"/>
    <w:uiPriority w:val="9"/>
    <w:semiHidden/>
    <w:unhideWhenUsed/>
    <w:qFormat/>
    <w:rsid w:val="007E3290"/>
    <w:pPr>
      <w:numPr>
        <w:ilvl w:val="4"/>
        <w:numId w:val="10"/>
      </w:numPr>
      <w:spacing w:before="240" w:after="60"/>
      <w:outlineLvl w:val="4"/>
    </w:pPr>
    <w:rPr>
      <w:b/>
      <w:bCs/>
      <w:i/>
      <w:iCs/>
      <w:sz w:val="26"/>
      <w:szCs w:val="26"/>
    </w:rPr>
  </w:style>
  <w:style w:type="paragraph" w:styleId="Pealkiri6">
    <w:name w:val="heading 6"/>
    <w:basedOn w:val="Normaallaad"/>
    <w:next w:val="Normaallaad"/>
    <w:link w:val="Pealkiri6Mrk"/>
    <w:uiPriority w:val="9"/>
    <w:semiHidden/>
    <w:unhideWhenUsed/>
    <w:qFormat/>
    <w:rsid w:val="007E3290"/>
    <w:pPr>
      <w:numPr>
        <w:ilvl w:val="5"/>
        <w:numId w:val="10"/>
      </w:numPr>
      <w:spacing w:before="240" w:after="60"/>
      <w:outlineLvl w:val="5"/>
    </w:pPr>
    <w:rPr>
      <w:b/>
      <w:bCs/>
      <w:szCs w:val="22"/>
    </w:rPr>
  </w:style>
  <w:style w:type="paragraph" w:styleId="Pealkiri7">
    <w:name w:val="heading 7"/>
    <w:basedOn w:val="Normaallaad"/>
    <w:next w:val="Normaallaad"/>
    <w:link w:val="Pealkiri7Mrk"/>
    <w:uiPriority w:val="9"/>
    <w:semiHidden/>
    <w:unhideWhenUsed/>
    <w:qFormat/>
    <w:rsid w:val="007E3290"/>
    <w:pPr>
      <w:numPr>
        <w:ilvl w:val="6"/>
        <w:numId w:val="10"/>
      </w:numPr>
      <w:spacing w:before="240" w:after="60"/>
      <w:outlineLvl w:val="6"/>
    </w:pPr>
    <w:rPr>
      <w:sz w:val="24"/>
      <w:szCs w:val="24"/>
    </w:rPr>
  </w:style>
  <w:style w:type="paragraph" w:styleId="Pealkiri8">
    <w:name w:val="heading 8"/>
    <w:basedOn w:val="Normaallaad"/>
    <w:next w:val="Normaallaad"/>
    <w:link w:val="Pealkiri8Mrk"/>
    <w:uiPriority w:val="9"/>
    <w:semiHidden/>
    <w:unhideWhenUsed/>
    <w:qFormat/>
    <w:rsid w:val="007E3290"/>
    <w:pPr>
      <w:numPr>
        <w:ilvl w:val="7"/>
        <w:numId w:val="10"/>
      </w:numPr>
      <w:spacing w:before="240" w:after="60"/>
      <w:outlineLvl w:val="7"/>
    </w:pPr>
    <w:rPr>
      <w:i/>
      <w:iCs/>
      <w:sz w:val="24"/>
      <w:szCs w:val="24"/>
    </w:rPr>
  </w:style>
  <w:style w:type="paragraph" w:styleId="Pealkiri9">
    <w:name w:val="heading 9"/>
    <w:basedOn w:val="Normaallaad"/>
    <w:next w:val="Normaallaad"/>
    <w:link w:val="Pealkiri9Mrk"/>
    <w:uiPriority w:val="9"/>
    <w:semiHidden/>
    <w:unhideWhenUsed/>
    <w:qFormat/>
    <w:rsid w:val="007E3290"/>
    <w:pPr>
      <w:numPr>
        <w:ilvl w:val="8"/>
        <w:numId w:val="10"/>
      </w:numPr>
      <w:spacing w:before="240" w:after="60"/>
      <w:outlineLvl w:val="8"/>
    </w:pPr>
    <w:rPr>
      <w:rFonts w:ascii="Calibri Light" w:hAnsi="Calibri Light"/>
      <w:szCs w:val="2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link w:val="Pealkiri1"/>
    <w:uiPriority w:val="9"/>
    <w:rsid w:val="007E3290"/>
    <w:rPr>
      <w:rFonts w:ascii="Trebuchet MS" w:hAnsi="Trebuchet MS"/>
      <w:b/>
      <w:bCs/>
      <w:color w:val="C00000"/>
      <w:sz w:val="28"/>
      <w:szCs w:val="28"/>
      <w:lang w:val="x-none"/>
    </w:rPr>
  </w:style>
  <w:style w:type="character" w:customStyle="1" w:styleId="Pealkiri2Mrk">
    <w:name w:val="Pealkiri 2 Märk"/>
    <w:link w:val="Pealkiri2"/>
    <w:uiPriority w:val="9"/>
    <w:rsid w:val="007E3290"/>
    <w:rPr>
      <w:rFonts w:ascii="Trebuchet MS" w:hAnsi="Trebuchet MS"/>
      <w:b/>
      <w:bCs/>
      <w:color w:val="C00000"/>
      <w:sz w:val="26"/>
      <w:szCs w:val="26"/>
      <w:lang w:val="x-none"/>
    </w:rPr>
  </w:style>
  <w:style w:type="character" w:customStyle="1" w:styleId="Pealkiri3Mrk">
    <w:name w:val="Pealkiri 3 Märk"/>
    <w:link w:val="Pealkiri3"/>
    <w:uiPriority w:val="9"/>
    <w:rsid w:val="007E3290"/>
    <w:rPr>
      <w:rFonts w:ascii="Cambria" w:hAnsi="Cambria"/>
      <w:b/>
      <w:bCs/>
      <w:sz w:val="26"/>
      <w:szCs w:val="26"/>
    </w:rPr>
  </w:style>
  <w:style w:type="character" w:customStyle="1" w:styleId="Pealkiri4Mrk">
    <w:name w:val="Pealkiri 4 Märk"/>
    <w:link w:val="Pealkiri4"/>
    <w:uiPriority w:val="9"/>
    <w:rsid w:val="007E3290"/>
    <w:rPr>
      <w:rFonts w:ascii="Calibri" w:hAnsi="Calibri"/>
      <w:b/>
      <w:bCs/>
      <w:sz w:val="28"/>
      <w:szCs w:val="28"/>
    </w:rPr>
  </w:style>
  <w:style w:type="character" w:customStyle="1" w:styleId="Pealkiri5Mrk">
    <w:name w:val="Pealkiri 5 Märk"/>
    <w:link w:val="Pealkiri5"/>
    <w:uiPriority w:val="9"/>
    <w:semiHidden/>
    <w:rsid w:val="007E3290"/>
    <w:rPr>
      <w:rFonts w:ascii="Calibri" w:hAnsi="Calibri"/>
      <w:b/>
      <w:bCs/>
      <w:i/>
      <w:iCs/>
      <w:sz w:val="26"/>
      <w:szCs w:val="26"/>
    </w:rPr>
  </w:style>
  <w:style w:type="character" w:customStyle="1" w:styleId="Pealkiri6Mrk">
    <w:name w:val="Pealkiri 6 Märk"/>
    <w:link w:val="Pealkiri6"/>
    <w:uiPriority w:val="9"/>
    <w:semiHidden/>
    <w:rsid w:val="007E3290"/>
    <w:rPr>
      <w:rFonts w:ascii="Calibri" w:hAnsi="Calibri"/>
      <w:b/>
      <w:bCs/>
      <w:sz w:val="22"/>
      <w:szCs w:val="22"/>
    </w:rPr>
  </w:style>
  <w:style w:type="character" w:customStyle="1" w:styleId="Pealkiri7Mrk">
    <w:name w:val="Pealkiri 7 Märk"/>
    <w:link w:val="Pealkiri7"/>
    <w:uiPriority w:val="9"/>
    <w:semiHidden/>
    <w:rsid w:val="007E3290"/>
    <w:rPr>
      <w:rFonts w:ascii="Calibri" w:hAnsi="Calibri"/>
      <w:sz w:val="24"/>
      <w:szCs w:val="24"/>
    </w:rPr>
  </w:style>
  <w:style w:type="character" w:customStyle="1" w:styleId="Pealkiri8Mrk">
    <w:name w:val="Pealkiri 8 Märk"/>
    <w:link w:val="Pealkiri8"/>
    <w:uiPriority w:val="9"/>
    <w:semiHidden/>
    <w:rsid w:val="007E3290"/>
    <w:rPr>
      <w:rFonts w:ascii="Calibri" w:hAnsi="Calibri"/>
      <w:i/>
      <w:iCs/>
      <w:sz w:val="24"/>
      <w:szCs w:val="24"/>
    </w:rPr>
  </w:style>
  <w:style w:type="character" w:customStyle="1" w:styleId="Pealkiri9Mrk">
    <w:name w:val="Pealkiri 9 Märk"/>
    <w:link w:val="Pealkiri9"/>
    <w:uiPriority w:val="9"/>
    <w:semiHidden/>
    <w:rsid w:val="007E3290"/>
    <w:rPr>
      <w:rFonts w:ascii="Calibri Light" w:hAnsi="Calibri Light"/>
      <w:sz w:val="22"/>
      <w:szCs w:val="22"/>
    </w:rPr>
  </w:style>
  <w:style w:type="paragraph" w:styleId="Pealdis">
    <w:name w:val="caption"/>
    <w:basedOn w:val="Normaallaad"/>
    <w:next w:val="Normaallaad"/>
    <w:unhideWhenUsed/>
    <w:qFormat/>
    <w:rsid w:val="007E3290"/>
    <w:rPr>
      <w:b/>
      <w:bCs/>
      <w:sz w:val="23"/>
    </w:rPr>
  </w:style>
  <w:style w:type="paragraph" w:customStyle="1" w:styleId="Tiitel">
    <w:name w:val="Tiitel"/>
    <w:basedOn w:val="Normaallaad"/>
    <w:next w:val="Normaallaad"/>
    <w:uiPriority w:val="99"/>
    <w:qFormat/>
    <w:rsid w:val="007E3290"/>
    <w:pPr>
      <w:pBdr>
        <w:bottom w:val="single" w:sz="8" w:space="4" w:color="4F81BD"/>
      </w:pBdr>
      <w:spacing w:after="300"/>
      <w:contextualSpacing/>
    </w:pPr>
    <w:rPr>
      <w:rFonts w:ascii="Trebuchet MS" w:hAnsi="Trebuchet MS"/>
      <w:spacing w:val="5"/>
      <w:kern w:val="28"/>
      <w:sz w:val="48"/>
      <w:szCs w:val="52"/>
      <w:lang w:val="x-none" w:eastAsia="x-none"/>
    </w:rPr>
  </w:style>
  <w:style w:type="character" w:customStyle="1" w:styleId="PealkiriMrk1">
    <w:name w:val="Pealkiri Märk1"/>
    <w:link w:val="Pealkiri"/>
    <w:uiPriority w:val="99"/>
    <w:rsid w:val="007E3290"/>
    <w:rPr>
      <w:rFonts w:ascii="Trebuchet MS" w:eastAsia="Times New Roman" w:hAnsi="Trebuchet MS" w:cs="Times New Roman"/>
      <w:spacing w:val="5"/>
      <w:kern w:val="28"/>
      <w:sz w:val="48"/>
      <w:szCs w:val="52"/>
    </w:rPr>
  </w:style>
  <w:style w:type="paragraph" w:styleId="Pealkiri">
    <w:name w:val="Title"/>
    <w:basedOn w:val="Normaallaad"/>
    <w:next w:val="Normaallaad"/>
    <w:link w:val="PealkiriMrk1"/>
    <w:uiPriority w:val="99"/>
    <w:rsid w:val="007E3290"/>
    <w:pPr>
      <w:spacing w:before="0"/>
      <w:contextualSpacing/>
    </w:pPr>
    <w:rPr>
      <w:rFonts w:ascii="Trebuchet MS" w:hAnsi="Trebuchet MS"/>
      <w:spacing w:val="5"/>
      <w:kern w:val="28"/>
      <w:sz w:val="48"/>
      <w:szCs w:val="52"/>
    </w:rPr>
  </w:style>
  <w:style w:type="character" w:customStyle="1" w:styleId="PealkiriMrk">
    <w:name w:val="Pealkiri Märk"/>
    <w:basedOn w:val="Liguvaikefont"/>
    <w:uiPriority w:val="10"/>
    <w:rsid w:val="007E3290"/>
    <w:rPr>
      <w:rFonts w:asciiTheme="majorHAnsi" w:eastAsiaTheme="majorEastAsia" w:hAnsiTheme="majorHAnsi" w:cstheme="majorBidi"/>
      <w:spacing w:val="-10"/>
      <w:kern w:val="28"/>
      <w:sz w:val="56"/>
      <w:szCs w:val="56"/>
    </w:rPr>
  </w:style>
  <w:style w:type="character" w:styleId="Tugev">
    <w:name w:val="Strong"/>
    <w:uiPriority w:val="22"/>
    <w:qFormat/>
    <w:rsid w:val="007E3290"/>
    <w:rPr>
      <w:b/>
      <w:bCs/>
    </w:rPr>
  </w:style>
  <w:style w:type="character" w:styleId="Rhutus">
    <w:name w:val="Emphasis"/>
    <w:uiPriority w:val="20"/>
    <w:qFormat/>
    <w:rsid w:val="007E3290"/>
    <w:rPr>
      <w:i/>
      <w:iCs/>
    </w:rPr>
  </w:style>
  <w:style w:type="paragraph" w:styleId="Vahedeta">
    <w:name w:val="No Spacing"/>
    <w:uiPriority w:val="1"/>
    <w:qFormat/>
    <w:rsid w:val="007E3290"/>
    <w:pPr>
      <w:jc w:val="both"/>
    </w:pPr>
    <w:rPr>
      <w:sz w:val="24"/>
      <w:szCs w:val="22"/>
      <w:lang w:val="en-US"/>
    </w:rPr>
  </w:style>
  <w:style w:type="paragraph" w:styleId="Loendilik">
    <w:name w:val="List Paragraph"/>
    <w:basedOn w:val="Normaallaad"/>
    <w:uiPriority w:val="34"/>
    <w:qFormat/>
    <w:rsid w:val="007E3290"/>
    <w:pPr>
      <w:ind w:left="720"/>
    </w:pPr>
  </w:style>
  <w:style w:type="paragraph" w:styleId="Sisukorrapealkiri">
    <w:name w:val="TOC Heading"/>
    <w:basedOn w:val="Pealkiri1"/>
    <w:next w:val="Normaallaad"/>
    <w:uiPriority w:val="39"/>
    <w:qFormat/>
    <w:rsid w:val="007E3290"/>
    <w:pPr>
      <w:spacing w:before="480" w:line="276" w:lineRule="auto"/>
      <w:jc w:val="left"/>
      <w:outlineLvl w:val="9"/>
    </w:pPr>
    <w:rPr>
      <w:rFonts w:ascii="Arial" w:hAnsi="Arial"/>
      <w:color w:val="365F91"/>
      <w:lang w:val="en-US"/>
    </w:rPr>
  </w:style>
  <w:style w:type="character" w:styleId="Hperlink">
    <w:name w:val="Hyperlink"/>
    <w:uiPriority w:val="99"/>
    <w:rsid w:val="00400AEC"/>
    <w:rPr>
      <w:rFonts w:cs="Times New Roman"/>
      <w:color w:val="0000FF"/>
      <w:u w:val="single"/>
    </w:rPr>
  </w:style>
  <w:style w:type="paragraph" w:styleId="Allmrkusetekst">
    <w:name w:val="footnote text"/>
    <w:basedOn w:val="Normaallaad"/>
    <w:link w:val="AllmrkusetekstMrk"/>
    <w:uiPriority w:val="99"/>
    <w:unhideWhenUsed/>
    <w:qFormat/>
    <w:rsid w:val="00400AEC"/>
    <w:rPr>
      <w:sz w:val="20"/>
      <w:lang w:val="x-none"/>
    </w:rPr>
  </w:style>
  <w:style w:type="character" w:customStyle="1" w:styleId="AllmrkusetekstMrk">
    <w:name w:val="Allmärkuse tekst Märk"/>
    <w:basedOn w:val="Liguvaikefont"/>
    <w:link w:val="Allmrkusetekst"/>
    <w:uiPriority w:val="99"/>
    <w:rsid w:val="00400AEC"/>
    <w:rPr>
      <w:rFonts w:ascii="Calibri" w:hAnsi="Calibri"/>
      <w:lang w:val="x-none"/>
    </w:rPr>
  </w:style>
  <w:style w:type="character" w:styleId="Allmrkuseviide">
    <w:name w:val="footnote reference"/>
    <w:uiPriority w:val="99"/>
    <w:unhideWhenUsed/>
    <w:rsid w:val="00400AEC"/>
    <w:rPr>
      <w:vertAlign w:val="superscript"/>
    </w:rPr>
  </w:style>
  <w:style w:type="table" w:styleId="Kontuurtabel">
    <w:name w:val="Table Grid"/>
    <w:basedOn w:val="Normaaltabel"/>
    <w:rsid w:val="00400AEC"/>
    <w:rPr>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4A2CD1"/>
    <w:pPr>
      <w:tabs>
        <w:tab w:val="center" w:pos="4536"/>
        <w:tab w:val="right" w:pos="9072"/>
      </w:tabs>
      <w:spacing w:before="0"/>
    </w:pPr>
  </w:style>
  <w:style w:type="character" w:customStyle="1" w:styleId="PisMrk">
    <w:name w:val="Päis Märk"/>
    <w:basedOn w:val="Liguvaikefont"/>
    <w:link w:val="Pis"/>
    <w:uiPriority w:val="99"/>
    <w:rsid w:val="004A2CD1"/>
    <w:rPr>
      <w:rFonts w:ascii="Calibri" w:hAnsi="Calibri"/>
      <w:sz w:val="22"/>
    </w:rPr>
  </w:style>
  <w:style w:type="paragraph" w:styleId="Jalus">
    <w:name w:val="footer"/>
    <w:basedOn w:val="Normaallaad"/>
    <w:link w:val="JalusMrk"/>
    <w:uiPriority w:val="99"/>
    <w:unhideWhenUsed/>
    <w:rsid w:val="004A2CD1"/>
    <w:pPr>
      <w:tabs>
        <w:tab w:val="center" w:pos="4536"/>
        <w:tab w:val="right" w:pos="9072"/>
      </w:tabs>
      <w:spacing w:before="0"/>
    </w:pPr>
  </w:style>
  <w:style w:type="character" w:customStyle="1" w:styleId="JalusMrk">
    <w:name w:val="Jalus Märk"/>
    <w:basedOn w:val="Liguvaikefont"/>
    <w:link w:val="Jalus"/>
    <w:uiPriority w:val="99"/>
    <w:rsid w:val="004A2CD1"/>
    <w:rPr>
      <w:rFonts w:ascii="Calibr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6125716">
      <w:bodyDiv w:val="1"/>
      <w:marLeft w:val="0"/>
      <w:marRight w:val="0"/>
      <w:marTop w:val="0"/>
      <w:marBottom w:val="0"/>
      <w:divBdr>
        <w:top w:val="none" w:sz="0" w:space="0" w:color="auto"/>
        <w:left w:val="none" w:sz="0" w:space="0" w:color="auto"/>
        <w:bottom w:val="none" w:sz="0" w:space="0" w:color="auto"/>
        <w:right w:val="none" w:sz="0" w:space="0" w:color="auto"/>
      </w:divBdr>
    </w:div>
    <w:div w:id="637879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piret@lemma.ee"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tp://ftp.ncdc.noaa.gov/pub/data/noaa"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tif"/></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CE9C3DE536C514AB5D7855459BFAD66" ma:contentTypeVersion="11" ma:contentTypeDescription="Loo uus dokument" ma:contentTypeScope="" ma:versionID="b01043cfc2b9c34efd29b10cebb08e9b">
  <xsd:schema xmlns:xsd="http://www.w3.org/2001/XMLSchema" xmlns:xs="http://www.w3.org/2001/XMLSchema" xmlns:p="http://schemas.microsoft.com/office/2006/metadata/properties" xmlns:ns3="aa110ac6-1e72-4f11-8cc5-902835ac804f" xmlns:ns4="75276174-68a8-4596-9b46-b2aad28bfcb9" targetNamespace="http://schemas.microsoft.com/office/2006/metadata/properties" ma:root="true" ma:fieldsID="4b2f96f0e4d4ec853f8248da88e56b77" ns3:_="" ns4:_="">
    <xsd:import namespace="aa110ac6-1e72-4f11-8cc5-902835ac804f"/>
    <xsd:import namespace="75276174-68a8-4596-9b46-b2aad28bfcb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4:SharedWithUsers" minOccurs="0"/>
                <xsd:element ref="ns4:SharedWithDetails" minOccurs="0"/>
                <xsd:element ref="ns4:SharingHintHash"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110ac6-1e72-4f11-8cc5-902835ac8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5276174-68a8-4596-9b46-b2aad28bfcb9" elementFormDefault="qualified">
    <xsd:import namespace="http://schemas.microsoft.com/office/2006/documentManagement/types"/>
    <xsd:import namespace="http://schemas.microsoft.com/office/infopath/2007/PartnerControls"/>
    <xsd:element name="SharedWithUsers" ma:index="15"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Ühiskasutusse andmise üksikasjad" ma:internalName="SharedWithDetails" ma:readOnly="true">
      <xsd:simpleType>
        <xsd:restriction base="dms:Note">
          <xsd:maxLength value="255"/>
        </xsd:restriction>
      </xsd:simpleType>
    </xsd:element>
    <xsd:element name="SharingHintHash" ma:index="17" nillable="true" ma:displayName="Vihjeräsi jagami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D0EC68-F61D-4858-B407-75FC6707889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89BF0C5-DF7E-49A2-8DA0-8F28B0D5B0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110ac6-1e72-4f11-8cc5-902835ac804f"/>
    <ds:schemaRef ds:uri="75276174-68a8-4596-9b46-b2aad28bfcb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115155-F3F9-486E-BEE8-5D693AECBDAC}">
  <ds:schemaRefs>
    <ds:schemaRef ds:uri="http://schemas.microsoft.com/sharepoint/v3/contenttype/forms"/>
  </ds:schemaRefs>
</ds:datastoreItem>
</file>

<file path=customXml/itemProps4.xml><?xml version="1.0" encoding="utf-8"?>
<ds:datastoreItem xmlns:ds="http://schemas.openxmlformats.org/officeDocument/2006/customXml" ds:itemID="{6E1BFCAC-618D-40EA-A2D3-078B1407E6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1422</TotalTime>
  <Pages>3</Pages>
  <Words>864</Words>
  <Characters>5014</Characters>
  <Application>Microsoft Office Word</Application>
  <DocSecurity>0</DocSecurity>
  <Lines>41</Lines>
  <Paragraphs>11</Paragraphs>
  <ScaleCrop>false</ScaleCrop>
  <Company/>
  <LinksUpToDate>false</LinksUpToDate>
  <CharactersWithSpaces>5867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Piret Toonpere</dc:creator>
  <cp:keywords/>
  <dc:description/>
  <cp:lastModifiedBy>Piret Toonpere</cp:lastModifiedBy>
  <cp:revision>68</cp:revision>
  <cp:lastPrinted>2021-07-26T20:11:00Z</cp:lastPrinted>
  <dcterms:created xsi:type="dcterms:W3CDTF">2021-03-19T15:29:00Z</dcterms:created>
  <dcterms:modified xsi:type="dcterms:W3CDTF">2022-06-30T13:07:00Z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0x0101009CE9C3DE536C514AB5D7855459BFAD66</vt:lpwstr>
  </property>
</Properties>
</file>